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Exercise 1</w:t>
            </w:r>
          </w:p>
        </w:tc>
      </w:tr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⭐⭐⭐ Ninja Exercises</w:t>
            </w:r>
          </w:p>
        </w:tc>
      </w:tr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AI for Human Resources — Submission Template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Name ______________________</w:t>
            </w:r>
          </w:p>
        </w:tc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Date ______________________</w:t>
            </w:r>
          </w:p>
        </w:tc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Instructor ______________________</w:t>
            </w:r>
          </w:p>
        </w:tc>
      </w:tr>
    </w:tbl>
    <w:p/>
    <w:p>
      <w:r>
        <w:rPr>
          <w:rFonts w:ascii="Calibri" w:hAnsi="Calibri"/>
          <w:sz w:val="22"/>
        </w:rPr>
        <w:t>Scenario reminder: Design (on paper) a safe HR Policy Agent for Brightline Logistics before any tool is configured.</w:t>
      </w:r>
    </w:p>
    <w:p>
      <w:pPr>
        <w:spacing w:before="240"/>
      </w:pPr>
      <w:r>
        <w:rPr>
          <w:rFonts w:ascii="Calibri" w:hAnsi="Calibri"/>
          <w:b/>
          <w:color w:val="1F2A44"/>
          <w:sz w:val="28"/>
        </w:rPr>
        <w:t>Exercise 1 — Specify a safe HR Policy Agent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56"/>
        <w:gridCol w:w="5760"/>
      </w:tblGrid>
      <w:tr>
        <w:tc>
          <w:tcPr>
            <w:tcW w:type="dxa" w:w="468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Section</w:t>
            </w:r>
          </w:p>
        </w:tc>
        <w:tc>
          <w:tcPr>
            <w:tcW w:type="dxa" w:w="468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Your specification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Purpose (1 sentence) + why narrow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Instructions (what it can / cannot do)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Grounding source(s)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Boundaries (when to stop)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3+ questions it answers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3+ questions it refuses + escalation message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Operating &amp; monitoring plan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