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FRaD · Módulo Inventario (Fase 1) · LONDOR</w:t>
      </w:r>
    </w:p>
    <w:p>
      <w:pPr>
        <w:jc w:val="center"/>
      </w:pPr>
      <w:r>
        <w:rPr>
          <w:i/>
        </w:rPr>
        <w:t>Documento de Requisitos de Arquitectura Funcional (FRaD)</w:t>
        <w:br/>
        <w:t>Versión: v1.0 (compilación de validaciones con Stakeholders)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Ámbito</w:t>
            </w:r>
          </w:p>
        </w:tc>
        <w:tc>
          <w:tcPr>
            <w:tcW w:type="dxa" w:w="4320"/>
          </w:tcPr>
          <w:p>
            <w:r>
              <w:t>3 joyerías LONDOR (multi-tienda, datos compartidos en la nube)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Administrador, Dependienta</w:t>
            </w:r>
          </w:p>
        </w:tc>
      </w:tr>
      <w:tr>
        <w:tc>
          <w:tcPr>
            <w:tcW w:type="dxa" w:w="4320"/>
          </w:tcPr>
          <w:p>
            <w:r>
              <w:t>Módulos relacionados</w:t>
            </w:r>
          </w:p>
        </w:tc>
        <w:tc>
          <w:tcPr>
            <w:tcW w:type="dxa" w:w="4320"/>
          </w:tcPr>
          <w:p>
            <w:r>
              <w:t>Caja, Venta Directa, Apartados/Encargos, Reparaciones, Garantías, Facturación (compra/venta)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Inventario (módulo troncal)</w:t>
            </w:r>
          </w:p>
        </w:tc>
      </w:tr>
    </w:tbl>
    <w:p/>
    <w:p>
      <w:pPr>
        <w:pStyle w:val="Heading1"/>
      </w:pPr>
      <w:r>
        <w:t>1. Objetivo y rol del módulo</w:t>
      </w:r>
    </w:p>
    <w:p>
      <w:r>
        <w:t>Objetivo general: implantar un Inventario troncal, compartido entre tiendas, que gobierne el ciclo de vida de cada pieza y garantice integridad, trazabilidad y coherencia con los procesos de Venta, Caja, Apartados/Encargos, Reparaciones, Garantías y Facturación.</w:t>
      </w:r>
    </w:p>
    <w:p>
      <w:r>
        <w:t>Validación Stakeholders: el Inventario se define como el sistema troncal que gobierna ventas, caja, reparaciones y garantías.</w:t>
      </w:r>
    </w:p>
    <w:p>
      <w:pPr>
        <w:pStyle w:val="Heading1"/>
      </w:pPr>
      <w:r>
        <w:t>2. Alcance del módulo (IN / OUT)</w:t>
      </w:r>
    </w:p>
    <w:p>
      <w:pPr>
        <w:pStyle w:val="Heading2"/>
      </w:pPr>
      <w:r>
        <w:t>2.1. Alcance IN (gestiona Inventario)</w:t>
      </w:r>
    </w:p>
    <w:p>
      <w:pPr>
        <w:pStyle w:val="ListBullet"/>
      </w:pPr>
      <w:r>
        <w:t>Piezas nuevas</w:t>
      </w:r>
    </w:p>
    <w:p>
      <w:pPr>
        <w:pStyle w:val="ListBullet"/>
      </w:pPr>
      <w:r>
        <w:t>Piezas de segunda mano</w:t>
      </w:r>
    </w:p>
    <w:p>
      <w:pPr>
        <w:pStyle w:val="ListBullet"/>
      </w:pPr>
      <w:r>
        <w:t>Piezas de recompra</w:t>
      </w:r>
    </w:p>
    <w:p>
      <w:pPr>
        <w:pStyle w:val="ListBullet"/>
      </w:pPr>
      <w:r>
        <w:t>Piezas reservadas (apartados)</w:t>
      </w:r>
    </w:p>
    <w:p>
      <w:pPr>
        <w:pStyle w:val="ListBullet"/>
      </w:pPr>
      <w:r>
        <w:t>Piezas en reparación/personalización</w:t>
      </w:r>
    </w:p>
    <w:p>
      <w:pPr>
        <w:pStyle w:val="ListBullet"/>
      </w:pPr>
      <w:r>
        <w:t>Piezas bloqueadas por incidencia</w:t>
      </w:r>
    </w:p>
    <w:p>
      <w:pPr>
        <w:pStyle w:val="ListBullet"/>
      </w:pPr>
      <w:r>
        <w:t>Piezas en tránsito entre tiendas</w:t>
      </w:r>
    </w:p>
    <w:p>
      <w:r>
        <w:t>Extensibilidad: se incorpora una tabla auxiliar de Tipos de pieza para crear nuevos tipos sin modificar el núcleo del sistema.</w:t>
      </w:r>
    </w:p>
    <w:p>
      <w:pPr>
        <w:pStyle w:val="Heading2"/>
      </w:pPr>
      <w:r>
        <w:t>2.2. Alcance OUT (conectado pero no gestionado directamente)</w:t>
      </w:r>
    </w:p>
    <w:p>
      <w:pPr>
        <w:pStyle w:val="ListBullet"/>
      </w:pPr>
      <w:r>
        <w:t>Cálculo fiscal e impuestos</w:t>
      </w:r>
    </w:p>
    <w:p>
      <w:pPr>
        <w:pStyle w:val="ListBullet"/>
      </w:pPr>
      <w:r>
        <w:t>Contabilidad</w:t>
      </w:r>
    </w:p>
    <w:p>
      <w:pPr>
        <w:pStyle w:val="ListBullet"/>
      </w:pPr>
      <w:r>
        <w:t>Gestión de cobros/pagos (Caja) como módulo propio</w:t>
      </w:r>
    </w:p>
    <w:p>
      <w:pPr>
        <w:pStyle w:val="ListBullet"/>
      </w:pPr>
      <w:r>
        <w:t>Emisión de documentos legales (Facturación) como módulo propio</w:t>
      </w:r>
    </w:p>
    <w:p>
      <w:pPr>
        <w:pStyle w:val="Heading1"/>
      </w:pPr>
      <w:r>
        <w:t>3. Principios de gobierno del dato</w:t>
      </w:r>
    </w:p>
    <w:p>
      <w:pPr>
        <w:pStyle w:val="ListBullet"/>
      </w:pPr>
      <w:r>
        <w:t>Una pieza nace una vez (ID único) y se reutiliza en todos los módulos.</w:t>
      </w:r>
    </w:p>
    <w:p>
      <w:pPr>
        <w:pStyle w:val="ListBullet"/>
      </w:pPr>
      <w:r>
        <w:t>Trazabilidad obligatoria por movimiento (quién, cuándo, dónde, por qué).</w:t>
      </w:r>
    </w:p>
    <w:p>
      <w:pPr>
        <w:pStyle w:val="ListBullet"/>
      </w:pPr>
      <w:r>
        <w:t>Estados y clasificaciones configurables mediante tablas auxiliares (evitar silos y hardcode).</w:t>
      </w:r>
    </w:p>
    <w:p>
      <w:pPr>
        <w:pStyle w:val="ListBullet"/>
      </w:pPr>
      <w:r>
        <w:t>Separación entre: estado operativo de inventario y asignación comercial (reserva/venta) cuando aplique.</w:t>
      </w:r>
    </w:p>
    <w:p>
      <w:pPr>
        <w:pStyle w:val="Heading1"/>
      </w:pPr>
      <w:r>
        <w:t>4. Entidad troncal: Pieza (Inventory Item)</w:t>
      </w:r>
    </w:p>
    <w:p>
      <w:r>
        <w:t>Validación Stakeholders: cada pieza es única y se identifica mediante Código + QR, derivados del ID individual.</w:t>
      </w:r>
    </w:p>
    <w:p>
      <w:pPr>
        <w:pStyle w:val="Heading2"/>
      </w:pPr>
      <w:r>
        <w:t>4.1. Identificación</w:t>
      </w:r>
    </w:p>
    <w:p>
      <w:pPr>
        <w:pStyle w:val="ListBullet"/>
      </w:pPr>
      <w:r>
        <w:t>ID único interno (ItemId) no reutilizable.</w:t>
      </w:r>
    </w:p>
    <w:p>
      <w:pPr>
        <w:pStyle w:val="ListBullet"/>
      </w:pPr>
      <w:r>
        <w:t>Código visible (ItemCode) generado automáticamente o por regla de negocio (parametrizable).</w:t>
      </w:r>
    </w:p>
    <w:p>
      <w:pPr>
        <w:pStyle w:val="ListBullet"/>
      </w:pPr>
      <w:r>
        <w:t>QR automático derivado del ItemId/ItemCode para escaneo en tienda y trazabilidad.</w:t>
      </w:r>
    </w:p>
    <w:p>
      <w:pPr>
        <w:pStyle w:val="Heading2"/>
      </w:pPr>
      <w:r>
        <w:t>4.2. Campos mínimos recomendados (MVP funcional)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Grupo</w:t>
            </w:r>
          </w:p>
        </w:tc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Identificación</w:t>
            </w:r>
          </w:p>
        </w:tc>
        <w:tc>
          <w:tcPr>
            <w:tcW w:type="dxa" w:w="2880"/>
          </w:tcPr>
          <w:p>
            <w:r>
              <w:t>ItemId / ItemCode / QRValue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Clasificación</w:t>
            </w:r>
          </w:p>
        </w:tc>
        <w:tc>
          <w:tcPr>
            <w:tcW w:type="dxa" w:w="2880"/>
          </w:tcPr>
          <w:p>
            <w:r>
              <w:t>CategoryId / SubcategoryId</w:t>
            </w:r>
          </w:p>
        </w:tc>
        <w:tc>
          <w:tcPr>
            <w:tcW w:type="dxa" w:w="2880"/>
          </w:tcPr>
          <w:p>
            <w:r>
              <w:t>Obligatorio; gobierna ficha dinámica</w:t>
            </w:r>
          </w:p>
        </w:tc>
      </w:tr>
      <w:tr>
        <w:tc>
          <w:tcPr>
            <w:tcW w:type="dxa" w:w="2880"/>
          </w:tcPr>
          <w:p>
            <w:r>
              <w:t>Estado y ubicación</w:t>
            </w:r>
          </w:p>
        </w:tc>
        <w:tc>
          <w:tcPr>
            <w:tcW w:type="dxa" w:w="2880"/>
          </w:tcPr>
          <w:p>
            <w:r>
              <w:t>OperationalStatusId / LocationId</w:t>
            </w:r>
          </w:p>
        </w:tc>
        <w:tc>
          <w:tcPr>
            <w:tcW w:type="dxa" w:w="2880"/>
          </w:tcPr>
          <w:p>
            <w:r>
              <w:t>Ubicación obligatoria siempre</w:t>
            </w:r>
          </w:p>
        </w:tc>
      </w:tr>
      <w:tr>
        <w:tc>
          <w:tcPr>
            <w:tcW w:type="dxa" w:w="2880"/>
          </w:tcPr>
          <w:p>
            <w:r>
              <w:t>Asignación comercial</w:t>
            </w:r>
          </w:p>
        </w:tc>
        <w:tc>
          <w:tcPr>
            <w:tcW w:type="dxa" w:w="2880"/>
          </w:tcPr>
          <w:p>
            <w:r>
              <w:t>CustomerId (opcional) + AssignmentType</w:t>
            </w:r>
          </w:p>
        </w:tc>
        <w:tc>
          <w:tcPr>
            <w:tcW w:type="dxa" w:w="2880"/>
          </w:tcPr>
          <w:p>
            <w:r>
              <w:t>Reserva/venta</w:t>
            </w:r>
          </w:p>
        </w:tc>
      </w:tr>
      <w:tr>
        <w:tc>
          <w:tcPr>
            <w:tcW w:type="dxa" w:w="2880"/>
          </w:tcPr>
          <w:p>
            <w:r>
              <w:t>Documentos</w:t>
            </w:r>
          </w:p>
        </w:tc>
        <w:tc>
          <w:tcPr>
            <w:tcW w:type="dxa" w:w="2880"/>
          </w:tcPr>
          <w:p>
            <w:r>
              <w:t>SaleId / ReservationId / WorkshopOrderId (opcionales)</w:t>
            </w:r>
          </w:p>
        </w:tc>
        <w:tc>
          <w:tcPr>
            <w:tcW w:type="dxa" w:w="2880"/>
          </w:tcPr>
          <w:p>
            <w:r>
              <w:t>Asociación según evento</w:t>
            </w:r>
          </w:p>
        </w:tc>
      </w:tr>
      <w:tr>
        <w:tc>
          <w:tcPr>
            <w:tcW w:type="dxa" w:w="2880"/>
          </w:tcPr>
          <w:p>
            <w:r>
              <w:t>Trazabilidad</w:t>
            </w:r>
          </w:p>
        </w:tc>
        <w:tc>
          <w:tcPr>
            <w:tcW w:type="dxa" w:w="2880"/>
          </w:tcPr>
          <w:p>
            <w:r>
              <w:t>CreatedAt/By, UpdatedAt/By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</w:tbl>
    <w:p>
      <w:pPr>
        <w:pStyle w:val="Heading1"/>
      </w:pPr>
      <w:r>
        <w:t>5. Estados operativos y control de ciclo de vida</w:t>
      </w:r>
    </w:p>
    <w:p>
      <w:r>
        <w:t>Los estados operativos describen qué le pasa físicamente a la pieza y su disponibilidad operativa. Son configurables mediante tabla auxiliar.</w:t>
      </w:r>
    </w:p>
    <w:p>
      <w:pPr>
        <w:pStyle w:val="Heading2"/>
      </w:pPr>
      <w:r>
        <w:t>5.1. Estados operativos validados y extendidos</w:t>
      </w:r>
    </w:p>
    <w:p>
      <w:r>
        <w:t>Estados validados por Stakeholders: Controlada, Disponible, Reservada/Apartada, Vendida, En reparación, En tránsito, Bloqueada, Ajuste/regularización.</w:t>
      </w:r>
    </w:p>
    <w:p>
      <w:r>
        <w:t>Validación adicional: se incorpora el estado operativo "Lista para entrega" y se confirma el estado final "Vendida (cerrada)".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 operativo</w:t>
            </w:r>
          </w:p>
        </w:tc>
        <w:tc>
          <w:tcPr>
            <w:tcW w:type="dxa" w:w="4320"/>
          </w:tcPr>
          <w:p>
            <w:r>
              <w:t>Definición / reglas clave</w:t>
            </w:r>
          </w:p>
        </w:tc>
      </w:tr>
      <w:tr>
        <w:tc>
          <w:tcPr>
            <w:tcW w:type="dxa" w:w="4320"/>
          </w:tcPr>
          <w:p>
            <w:r>
              <w:t>Controlada</w:t>
            </w:r>
          </w:p>
        </w:tc>
        <w:tc>
          <w:tcPr>
            <w:tcW w:type="dxa" w:w="4320"/>
          </w:tcPr>
          <w:p>
            <w:r>
              <w:t>Pieza registrada y verificada; lista para operar. Puede evolucionar a Disponible.</w:t>
            </w:r>
          </w:p>
        </w:tc>
      </w:tr>
      <w:tr>
        <w:tc>
          <w:tcPr>
            <w:tcW w:type="dxa" w:w="4320"/>
          </w:tcPr>
          <w:p>
            <w:r>
              <w:t>Disponible</w:t>
            </w:r>
          </w:p>
        </w:tc>
        <w:tc>
          <w:tcPr>
            <w:tcW w:type="dxa" w:w="4320"/>
          </w:tcPr>
          <w:p>
            <w:r>
              <w:t>Pieza vendible/asignable; sin bloqueo comercial activo.</w:t>
            </w:r>
          </w:p>
        </w:tc>
      </w:tr>
      <w:tr>
        <w:tc>
          <w:tcPr>
            <w:tcW w:type="dxa" w:w="4320"/>
          </w:tcPr>
          <w:p>
            <w:r>
              <w:t>Reservada/Apartada</w:t>
            </w:r>
          </w:p>
        </w:tc>
        <w:tc>
          <w:tcPr>
            <w:tcW w:type="dxa" w:w="4320"/>
          </w:tcPr>
          <w:p>
            <w:r>
              <w:t>Pieza bloqueada por apartado; asociada a un cliente y fecha de vencimiento.</w:t>
            </w:r>
          </w:p>
        </w:tc>
      </w:tr>
      <w:tr>
        <w:tc>
          <w:tcPr>
            <w:tcW w:type="dxa" w:w="4320"/>
          </w:tcPr>
          <w:p>
            <w:r>
              <w:t>Lista para entrega</w:t>
            </w:r>
          </w:p>
        </w:tc>
        <w:tc>
          <w:tcPr>
            <w:tcW w:type="dxa" w:w="4320"/>
          </w:tcPr>
          <w:p>
            <w:r>
              <w:t>Venta registrada para un cliente, pero pendiente de entrega (p. ej., preparación, verificación). No vendible a terceros.</w:t>
            </w:r>
          </w:p>
        </w:tc>
      </w:tr>
      <w:tr>
        <w:tc>
          <w:tcPr>
            <w:tcW w:type="dxa" w:w="4320"/>
          </w:tcPr>
          <w:p>
            <w:r>
              <w:t>En reparación/personalización</w:t>
            </w:r>
          </w:p>
        </w:tc>
        <w:tc>
          <w:tcPr>
            <w:tcW w:type="dxa" w:w="4320"/>
          </w:tcPr>
          <w:p>
            <w:r>
              <w:t>Pieza en proceso de taller; ubicación habitual: Taller externo. Puede tener venta asociada.</w:t>
            </w:r>
          </w:p>
        </w:tc>
      </w:tr>
      <w:tr>
        <w:tc>
          <w:tcPr>
            <w:tcW w:type="dxa" w:w="4320"/>
          </w:tcPr>
          <w:p>
            <w:r>
              <w:t>En tránsito</w:t>
            </w:r>
          </w:p>
        </w:tc>
        <w:tc>
          <w:tcPr>
            <w:tcW w:type="dxa" w:w="4320"/>
          </w:tcPr>
          <w:p>
            <w:r>
              <w:t>Pieza en transferencia logística entre ubicaciones.</w:t>
            </w:r>
          </w:p>
        </w:tc>
      </w:tr>
      <w:tr>
        <w:tc>
          <w:tcPr>
            <w:tcW w:type="dxa" w:w="4320"/>
          </w:tcPr>
          <w:p>
            <w:r>
              <w:t>Bloqueada</w:t>
            </w:r>
          </w:p>
        </w:tc>
        <w:tc>
          <w:tcPr>
            <w:tcW w:type="dxa" w:w="4320"/>
          </w:tcPr>
          <w:p>
            <w:r>
              <w:t>Pieza inmovilizada por incidencia; requiere rol Administrador para desbloqueo.</w:t>
            </w:r>
          </w:p>
        </w:tc>
      </w:tr>
      <w:tr>
        <w:tc>
          <w:tcPr>
            <w:tcW w:type="dxa" w:w="4320"/>
          </w:tcPr>
          <w:p>
            <w:r>
              <w:t>Ajuste/regularización</w:t>
            </w:r>
          </w:p>
        </w:tc>
        <w:tc>
          <w:tcPr>
            <w:tcW w:type="dxa" w:w="4320"/>
          </w:tcPr>
          <w:p>
            <w:r>
              <w:t>Estado transitorio para inventario físico/regularizaciones (solo Administrador).</w:t>
            </w:r>
          </w:p>
        </w:tc>
      </w:tr>
      <w:tr>
        <w:tc>
          <w:tcPr>
            <w:tcW w:type="dxa" w:w="4320"/>
          </w:tcPr>
          <w:p>
            <w:r>
              <w:t>Vendida (cerrada)</w:t>
            </w:r>
          </w:p>
        </w:tc>
        <w:tc>
          <w:tcPr>
            <w:tcW w:type="dxa" w:w="4320"/>
          </w:tcPr>
          <w:p>
            <w:r>
              <w:t>Salida definitiva del stock tras entrega al cliente. Mantiene histórico para garantías/devoluciones.</w:t>
            </w:r>
          </w:p>
        </w:tc>
      </w:tr>
    </w:tbl>
    <w:p>
      <w:pPr>
        <w:pStyle w:val="Heading2"/>
      </w:pPr>
      <w:r>
        <w:t>5.2. Caso de uso crítico: venta + personalización en taller</w:t>
      </w:r>
    </w:p>
    <w:p>
      <w:r>
        <w:t>Caso validado: una pieza puede estar vendida comercialmente para un cliente y, a la vez, estar en taller para pulido/grabado/personalización. Regla: la venta (SaleId + CustomerId) bloquea comercialmente la pieza; el estado operativo refleja el proceso físico (En reparación/personalización o En tránsito). La entrega final al cliente cambia el estado operativo a "Vendida (cerrada)".</w:t>
      </w:r>
    </w:p>
    <w:p>
      <w:pPr>
        <w:pStyle w:val="Heading1"/>
      </w:pPr>
      <w:r>
        <w:t>6. Ubicaciones (Location)</w:t>
      </w:r>
    </w:p>
    <w:p>
      <w:r>
        <w:t>Validación Stakeholders: la ubicación es obligatoria siempre.</w:t>
      </w:r>
    </w:p>
    <w:p>
      <w:r>
        <w:t>Ubicaciones a controlar en Fase 1:</w:t>
      </w:r>
    </w:p>
    <w:p>
      <w:pPr>
        <w:pStyle w:val="ListBullet"/>
      </w:pPr>
      <w:r>
        <w:t>Tienda LONDOR Diputación</w:t>
      </w:r>
    </w:p>
    <w:p>
      <w:pPr>
        <w:pStyle w:val="ListBullet"/>
      </w:pPr>
      <w:r>
        <w:t>Tienda LONDOR Provenza</w:t>
      </w:r>
    </w:p>
    <w:p>
      <w:pPr>
        <w:pStyle w:val="ListBullet"/>
      </w:pPr>
      <w:r>
        <w:t>Almacén</w:t>
      </w:r>
    </w:p>
    <w:p>
      <w:pPr>
        <w:pStyle w:val="ListBullet"/>
      </w:pPr>
      <w:r>
        <w:t>Taller externo</w:t>
      </w:r>
    </w:p>
    <w:p>
      <w:pPr>
        <w:pStyle w:val="Heading2"/>
      </w:pPr>
      <w:r>
        <w:t>6.1. Tabla auxiliar y ventana CRUD</w:t>
      </w:r>
    </w:p>
    <w:p>
      <w:r>
        <w:t>Tabla auxiliar Locations + ventana CRUD de gestión integral (alta/baja lógica, edición, tipo de ubicación, contacto/dirección, activa/inactiva).</w:t>
      </w:r>
    </w:p>
    <w:p>
      <w:pPr>
        <w:pStyle w:val="Heading1"/>
      </w:pPr>
      <w:r>
        <w:t>7. Movimientos obligatorios y trazabilidad</w:t>
      </w:r>
    </w:p>
    <w:p>
      <w:r>
        <w:t>Validación Stakeholders: todos los eventos generan movimiento de inventario y todo movimiento deja historial.</w:t>
      </w:r>
    </w:p>
    <w:p>
      <w:pPr>
        <w:pStyle w:val="ListBullet"/>
      </w:pPr>
      <w:r>
        <w:t>Alta de pieza</w:t>
      </w:r>
    </w:p>
    <w:p>
      <w:pPr>
        <w:pStyle w:val="ListBullet"/>
      </w:pPr>
      <w:r>
        <w:t>Venta</w:t>
      </w:r>
    </w:p>
    <w:p>
      <w:pPr>
        <w:pStyle w:val="ListBullet"/>
      </w:pPr>
      <w:r>
        <w:t>Apartado (crear) / Liberación de apartado</w:t>
      </w:r>
    </w:p>
    <w:p>
      <w:pPr>
        <w:pStyle w:val="ListBullet"/>
      </w:pPr>
      <w:r>
        <w:t>Envío a reparación/personalización</w:t>
      </w:r>
    </w:p>
    <w:p>
      <w:pPr>
        <w:pStyle w:val="ListBullet"/>
      </w:pPr>
      <w:r>
        <w:t>Recepción/cierre de reparación</w:t>
      </w:r>
    </w:p>
    <w:p>
      <w:pPr>
        <w:pStyle w:val="ListBullet"/>
      </w:pPr>
      <w:r>
        <w:t>Transferencia entre tiendas</w:t>
      </w:r>
    </w:p>
    <w:p>
      <w:pPr>
        <w:pStyle w:val="ListBullet"/>
      </w:pPr>
      <w:r>
        <w:t>Ajuste por inventario físico (regularización)</w:t>
      </w:r>
    </w:p>
    <w:p>
      <w:pPr>
        <w:pStyle w:val="ListBullet"/>
      </w:pPr>
      <w:r>
        <w:t>Devolución / Abono</w:t>
      </w:r>
    </w:p>
    <w:p>
      <w:pPr>
        <w:pStyle w:val="Heading2"/>
      </w:pPr>
      <w:r>
        <w:t>7.1. Trazabilidad obligatoria del movimiento</w:t>
      </w:r>
    </w:p>
    <w:p>
      <w:r>
        <w:t>Campos obligatorios por movimiento: Usuario, Fecha/hora, Tienda/ubicación origen, Motivo.</w:t>
      </w:r>
    </w:p>
    <w:p>
      <w:r>
        <w:t>Documento asociado: se indicó como opcional. Recomendación de gobierno: configurar obligatoriedad por tipo de movimiento (p. ej., venta, devolución y reparación deberían enlazar a un identificador de documento interno).</w:t>
      </w:r>
    </w:p>
    <w:p>
      <w:pPr>
        <w:pStyle w:val="Heading1"/>
      </w:pPr>
      <w:r>
        <w:t>8. Roles y permisos (multiusuario)</w:t>
      </w:r>
    </w:p>
    <w:p>
      <w:r>
        <w:t>Se implementa control de autenticación multiusuario con roles y permisos. Se incluye tabla auxiliar y ventana CRUD/matriz de permisos.</w:t>
      </w:r>
    </w:p>
    <w:p>
      <w:pPr>
        <w:pStyle w:val="Heading2"/>
      </w:pPr>
      <w:r>
        <w:t>8.1. Rol Dependienta (permisos validados)</w:t>
      </w:r>
    </w:p>
    <w:p>
      <w:pPr>
        <w:pStyle w:val="ListBullet"/>
      </w:pPr>
      <w:r>
        <w:t>Consultar inventario (con restricción de campos; por definir)</w:t>
      </w:r>
    </w:p>
    <w:p>
      <w:pPr>
        <w:pStyle w:val="ListBullet"/>
      </w:pPr>
      <w:r>
        <w:t>Vender piezas disponibles</w:t>
      </w:r>
    </w:p>
    <w:p>
      <w:pPr>
        <w:pStyle w:val="ListBullet"/>
      </w:pPr>
      <w:r>
        <w:t>Crear apartados</w:t>
      </w:r>
    </w:p>
    <w:p>
      <w:pPr>
        <w:pStyle w:val="ListBullet"/>
      </w:pPr>
      <w:r>
        <w:t>Enviar a reparación/personalización</w:t>
      </w:r>
    </w:p>
    <w:p>
      <w:pPr>
        <w:pStyle w:val="ListBullet"/>
      </w:pPr>
      <w:r>
        <w:t>Cambiar ubicación de una pieza</w:t>
      </w:r>
    </w:p>
    <w:p>
      <w:pPr>
        <w:pStyle w:val="ListBullet"/>
      </w:pPr>
      <w:r>
        <w:t>No puede ajustar inventario.</w:t>
      </w:r>
    </w:p>
    <w:p>
      <w:pPr>
        <w:pStyle w:val="Heading2"/>
      </w:pPr>
      <w:r>
        <w:t>8.2. Rol Administrador (permisos validados)</w:t>
      </w:r>
    </w:p>
    <w:p>
      <w:pPr>
        <w:pStyle w:val="ListBullet"/>
      </w:pPr>
      <w:r>
        <w:t>Todas las acciones de Dependienta</w:t>
      </w:r>
    </w:p>
    <w:p>
      <w:pPr>
        <w:pStyle w:val="ListBullet"/>
      </w:pPr>
      <w:r>
        <w:t>Ajustes y regularizaciones</w:t>
      </w:r>
    </w:p>
    <w:p>
      <w:pPr>
        <w:pStyle w:val="ListBullet"/>
      </w:pPr>
      <w:r>
        <w:t>Desbloqueos</w:t>
      </w:r>
    </w:p>
    <w:p>
      <w:pPr>
        <w:pStyle w:val="ListBullet"/>
      </w:pPr>
      <w:r>
        <w:t>Autorizar excepciones (p. ej., venta fuera de reglas estándar)</w:t>
      </w:r>
    </w:p>
    <w:p>
      <w:pPr>
        <w:pStyle w:val="Heading2"/>
      </w:pPr>
      <w:r>
        <w:t>8.3. Reglas específicas: venta de pieza reservada</w:t>
      </w:r>
    </w:p>
    <w:p>
      <w:r>
        <w:t>Validación: una pieza reservada solo puede venderse por Dependienta si el cliente de la venta coincide con el cliente de la reserva. En caso contrario: requiere liberación de reserva o autorización manual de Administrador.</w:t>
      </w:r>
    </w:p>
    <w:p>
      <w:pPr>
        <w:pStyle w:val="Heading1"/>
      </w:pPr>
      <w:r>
        <w:t>9. Apartados caducados (bandeja de decisión)</w:t>
      </w:r>
    </w:p>
    <w:p>
      <w:r>
        <w:t>Validación: el apartado bloquea la pieza. Si caduca, la decisión es manual por Administrador y debe documentarse el motivo.</w:t>
      </w:r>
    </w:p>
    <w:p>
      <w:r>
        <w:t>Se implementa:</w:t>
      </w:r>
    </w:p>
    <w:p>
      <w:pPr>
        <w:pStyle w:val="ListBullet"/>
      </w:pPr>
      <w:r>
        <w:t>Tabla de Reservas/Apartados con fecha de vencimiento, estado (activa/caducada/resuelta) y campos de resolución.</w:t>
      </w:r>
    </w:p>
    <w:p>
      <w:pPr>
        <w:pStyle w:val="ListBullet"/>
      </w:pPr>
      <w:r>
        <w:t>Ventana “Bandeja de Apartados Caducados” (solo Admin) para decidir: volver a Disponible, pasar a Bloqueada o extender reserva (si se habilita).</w:t>
      </w:r>
    </w:p>
    <w:p>
      <w:pPr>
        <w:pStyle w:val="ListBullet"/>
      </w:pPr>
      <w:r>
        <w:t>Campo “Motivo de decisión” obligatorio.</w:t>
      </w:r>
    </w:p>
    <w:p>
      <w:pPr>
        <w:pStyle w:val="Heading1"/>
      </w:pPr>
      <w:r>
        <w:t>10. Reparaciones y personalizaciones (taller externo)</w:t>
      </w:r>
    </w:p>
    <w:p>
      <w:r>
        <w:t>Validación: al enviar a reparación/personalización, la pieza sale de la tienda (ubicación: Taller externo) y el movimiento queda registrado.</w:t>
      </w:r>
    </w:p>
    <w:p>
      <w:r>
        <w:t>Validación: se permite vender piezas en reparación (Admin y Dependienta), sujeto a las reglas de asignación a cliente.</w:t>
      </w:r>
    </w:p>
    <w:p>
      <w:r>
        <w:t>Se implementa:</w:t>
      </w:r>
    </w:p>
    <w:p>
      <w:pPr>
        <w:pStyle w:val="ListBullet"/>
      </w:pPr>
      <w:r>
        <w:t>CRUD Talleres (entidad Workshop)</w:t>
      </w:r>
    </w:p>
    <w:p>
      <w:pPr>
        <w:pStyle w:val="ListBullet"/>
      </w:pPr>
      <w:r>
        <w:t>CRUD Órdenes de taller (WorkshopOrder) con estados de orden y tipos de reparación/personalización</w:t>
      </w:r>
    </w:p>
    <w:p>
      <w:pPr>
        <w:pStyle w:val="ListBullet"/>
      </w:pPr>
      <w:r>
        <w:t>Asociación Orden de taller ↔ Pieza(s), con trazabilidad y fechas</w:t>
      </w:r>
    </w:p>
    <w:p>
      <w:pPr>
        <w:pStyle w:val="Heading1"/>
      </w:pPr>
      <w:r>
        <w:t>11. Garantías</w:t>
      </w:r>
    </w:p>
    <w:p>
      <w:r>
        <w:t>Validación: la garantía se asocia a pieza y a venta. El inicio de la garantía es la fecha de venta.</w:t>
      </w:r>
    </w:p>
    <w:p>
      <w:r>
        <w:t>Se implementa:</w:t>
      </w:r>
    </w:p>
    <w:p>
      <w:pPr>
        <w:pStyle w:val="ListBullet"/>
      </w:pPr>
      <w:r>
        <w:t>CRUD Políticas de garantía (WarrantyPolicy)</w:t>
      </w:r>
    </w:p>
    <w:p>
      <w:pPr>
        <w:pStyle w:val="ListBullet"/>
      </w:pPr>
      <w:r>
        <w:t>Gestión de garantías (consulta/alta automática al vender)</w:t>
      </w:r>
    </w:p>
    <w:p>
      <w:pPr>
        <w:pStyle w:val="ListBullet"/>
      </w:pPr>
      <w:r>
        <w:t>Opcional: gestión de reclamaciones (WarrantyClaim)</w:t>
      </w:r>
    </w:p>
    <w:p>
      <w:pPr>
        <w:pStyle w:val="Heading1"/>
      </w:pPr>
      <w:r>
        <w:t>12. Facturación (conexión preparada)</w:t>
      </w:r>
    </w:p>
    <w:p>
      <w:r>
        <w:t>Validación: las ventas generan factura solo a veces (en otros casos ticket).</w:t>
      </w:r>
    </w:p>
    <w:p>
      <w:r>
        <w:t>Validación: la entrada en inventario por compras se realiza después de la factura.</w:t>
      </w:r>
    </w:p>
    <w:p>
      <w:r>
        <w:t>Implicaciones funcionales para Inventario:</w:t>
      </w:r>
    </w:p>
    <w:p>
      <w:pPr>
        <w:pStyle w:val="ListBullet"/>
      </w:pPr>
      <w:r>
        <w:t>Movimientos de entrada por compra deben referenciar el documento de compra/factura antes de activar la pieza como Controlada/Disponible.</w:t>
      </w:r>
    </w:p>
    <w:p>
      <w:pPr>
        <w:pStyle w:val="ListBullet"/>
      </w:pPr>
      <w:r>
        <w:t>Ventas pueden generar ticket o factura: Inventario debe enlazar el identificador del documento emitido cuando exista.</w:t>
      </w:r>
    </w:p>
    <w:p>
      <w:pPr>
        <w:pStyle w:val="Heading1"/>
      </w:pPr>
      <w:r>
        <w:t>13. Clasificación de piezas: categorías, subcategorías, atributos y dominios</w:t>
      </w:r>
    </w:p>
    <w:p>
      <w:r>
        <w:t>Estructura general validada: Categoría = tipo general de joya (p. ej., Anillos). Subcategoría = tipología específica dentro de la categoría (p. ej., Solitario, Alianza).</w:t>
      </w:r>
    </w:p>
    <w:p>
      <w:r>
        <w:t>La ficha de la pieza es dinámica: los atributos visibles/obligatorios dependen de la subcategoría.</w:t>
      </w:r>
    </w:p>
    <w:p>
      <w:pPr>
        <w:pStyle w:val="Heading2"/>
      </w:pPr>
      <w:r>
        <w:t>13.1. Definiciones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Clasificación general del tipo de joya (p. ej., Anillos, Pendientes, Colgantes).</w:t>
            </w:r>
          </w:p>
        </w:tc>
      </w:tr>
      <w:tr>
        <w:tc>
          <w:tcPr>
            <w:tcW w:type="dxa" w:w="4320"/>
          </w:tcPr>
          <w:p>
            <w:r>
              <w:t>Subcategoría</w:t>
            </w:r>
          </w:p>
        </w:tc>
        <w:tc>
          <w:tcPr>
            <w:tcW w:type="dxa" w:w="4320"/>
          </w:tcPr>
          <w:p>
            <w:r>
              <w:t>Subtipo dentro de la categoría que define tipología comercial/diseño (p. ej., Solitario, Alianza, Rosetón).</w:t>
            </w:r>
          </w:p>
        </w:tc>
      </w:tr>
      <w:tr>
        <w:tc>
          <w:tcPr>
            <w:tcW w:type="dxa" w:w="4320"/>
          </w:tcPr>
          <w:p>
            <w:r>
              <w:t>Atributo</w:t>
            </w:r>
          </w:p>
        </w:tc>
        <w:tc>
          <w:tcPr>
            <w:tcW w:type="dxa" w:w="4320"/>
          </w:tcPr>
          <w:p>
            <w:r>
              <w:t>Característica posible en abstracto (p. ej., Material, Color, Talla, Quilataje).</w:t>
            </w:r>
          </w:p>
        </w:tc>
      </w:tr>
      <w:tr>
        <w:tc>
          <w:tcPr>
            <w:tcW w:type="dxa" w:w="4320"/>
          </w:tcPr>
          <w:p>
            <w:r>
              <w:t>Atributo por subcategoría</w:t>
            </w:r>
          </w:p>
        </w:tc>
        <w:tc>
          <w:tcPr>
            <w:tcW w:type="dxa" w:w="4320"/>
          </w:tcPr>
          <w:p>
            <w:r>
              <w:t>Asignación de atributos a una subcategoría, indicando obligatoriedad, orden y reglas de validación.</w:t>
            </w:r>
          </w:p>
        </w:tc>
      </w:tr>
      <w:tr>
        <w:tc>
          <w:tcPr>
            <w:tcW w:type="dxa" w:w="4320"/>
          </w:tcPr>
          <w:p>
            <w:r>
              <w:t>Dominio de atributo</w:t>
            </w:r>
          </w:p>
        </w:tc>
        <w:tc>
          <w:tcPr>
            <w:tcW w:type="dxa" w:w="4320"/>
          </w:tcPr>
          <w:p>
            <w:r>
              <w:t>Forma y reglas de captura del atributo (lista controlada, rango, texto libre, booleano).</w:t>
            </w:r>
          </w:p>
        </w:tc>
      </w:tr>
      <w:tr>
        <w:tc>
          <w:tcPr>
            <w:tcW w:type="dxa" w:w="4320"/>
          </w:tcPr>
          <w:p>
            <w:r>
              <w:t>Valores de dominio</w:t>
            </w:r>
          </w:p>
        </w:tc>
        <w:tc>
          <w:tcPr>
            <w:tcW w:type="dxa" w:w="4320"/>
          </w:tcPr>
          <w:p>
            <w:r>
              <w:t>Opciones concretas de un dominio (p. ej., Material: Oro 18k, Plata 925).</w:t>
            </w:r>
          </w:p>
        </w:tc>
      </w:tr>
    </w:tbl>
    <w:p>
      <w:pPr>
        <w:pStyle w:val="Heading2"/>
      </w:pPr>
      <w:r>
        <w:t>13.2. Entidades auxiliares y CRUD</w:t>
      </w:r>
    </w:p>
    <w:p>
      <w:r>
        <w:t>Se incorporan CRUD de gestión integral para:</w:t>
      </w:r>
    </w:p>
    <w:p>
      <w:pPr>
        <w:pStyle w:val="ListBullet"/>
      </w:pPr>
      <w:r>
        <w:t>Categorías y Subcategorías (y su asociación)</w:t>
      </w:r>
    </w:p>
    <w:p>
      <w:pPr>
        <w:pStyle w:val="ListBullet"/>
      </w:pPr>
      <w:r>
        <w:t>Atributos (catálogo)</w:t>
      </w:r>
    </w:p>
    <w:p>
      <w:pPr>
        <w:pStyle w:val="ListBullet"/>
      </w:pPr>
      <w:r>
        <w:t>Atributos por subcategoría (qué campos aparecen en cada ficha; obligatorios/condicionales)</w:t>
      </w:r>
    </w:p>
    <w:p>
      <w:pPr>
        <w:pStyle w:val="ListBullet"/>
      </w:pPr>
      <w:r>
        <w:t>Dominios de atributos y Valores de dominio (colores, materiales, acabados, etc.)</w:t>
      </w:r>
    </w:p>
    <w:p>
      <w:pPr>
        <w:pStyle w:val="ListBullet"/>
      </w:pPr>
      <w:r>
        <w:t>Agrupaciones de joyas (sets/bundles; p. ej., colgante + cadena = gargantilla)</w:t>
      </w:r>
    </w:p>
    <w:p>
      <w:pPr>
        <w:pStyle w:val="Heading2"/>
      </w:pPr>
      <w:r>
        <w:t>13.3. Agrupaciones de joyas (bundle/set)</w:t>
      </w:r>
    </w:p>
    <w:p>
      <w:r>
        <w:t>Funcionalidad: permitir definir agrupaciones de piezas bajo una entidad “Grupo”, con miembros y roles dentro del grupo.</w:t>
      </w:r>
    </w:p>
    <w:p>
      <w:r>
        <w:t>Ejemplo: Gargantilla = Cadena + Colgante.</w:t>
      </w:r>
    </w:p>
    <w:p>
      <w:r>
        <w:t>Se implementa CRUD de Grupos y de miembros de grupo. Reglas de venta: configurable (vender conjunto implica vender miembros).</w:t>
      </w:r>
    </w:p>
    <w:p>
      <w:pPr>
        <w:pStyle w:val="Heading1"/>
      </w:pPr>
      <w:r>
        <w:t>14. Ventanas CRUD requeridas y prioridad de entrega (Demo)</w:t>
      </w:r>
    </w:p>
    <w:p>
      <w:r>
        <w:t>Prioridades validadas y consolidadas:</w:t>
      </w:r>
    </w:p>
    <w:p>
      <w:pPr>
        <w:pStyle w:val="Heading2"/>
      </w:pPr>
      <w:r>
        <w:t>14.1. Prioridad P1 (núcleo Inventario + gobierno)</w:t>
      </w:r>
    </w:p>
    <w:p>
      <w:pPr>
        <w:pStyle w:val="ListBullet"/>
      </w:pPr>
      <w:r>
        <w:t>CRUD de Gestión Integral de Inventario (búsqueda, filtros, ficha, historial, acciones)</w:t>
      </w:r>
    </w:p>
    <w:p>
      <w:pPr>
        <w:pStyle w:val="ListBullet"/>
      </w:pPr>
      <w:r>
        <w:t>CRUD de tablas/entidades auxiliares (Tipos, Estados, Ubicaciones, Clasificación, Atributos, Dominios)</w:t>
      </w:r>
    </w:p>
    <w:p>
      <w:pPr>
        <w:pStyle w:val="ListBullet"/>
      </w:pPr>
      <w:r>
        <w:t>Gestión de roles y permisos (matriz)</w:t>
      </w:r>
    </w:p>
    <w:p>
      <w:pPr>
        <w:pStyle w:val="ListBullet"/>
      </w:pPr>
      <w:r>
        <w:t>Dashboard de Gestión de Administrador</w:t>
      </w:r>
    </w:p>
    <w:p>
      <w:pPr>
        <w:pStyle w:val="Heading2"/>
      </w:pPr>
      <w:r>
        <w:t>14.2. Prioridad P2 (entidades/módulos asociados a Inventario)</w:t>
      </w:r>
    </w:p>
    <w:p>
      <w:pPr>
        <w:pStyle w:val="ListBullet"/>
      </w:pPr>
      <w:r>
        <w:t>CRUD Impresión/reimpresión de etiquetas (barcode + QR automático + descripción)</w:t>
      </w:r>
    </w:p>
    <w:p>
      <w:pPr>
        <w:pStyle w:val="ListBullet"/>
      </w:pPr>
      <w:r>
        <w:t>CRUD Clientes (asociado a ventas, apartados y encargos)</w:t>
      </w:r>
    </w:p>
    <w:p>
      <w:pPr>
        <w:pStyle w:val="ListBullet"/>
      </w:pPr>
      <w:r>
        <w:t>CRUD Talleres</w:t>
      </w:r>
    </w:p>
    <w:p>
      <w:pPr>
        <w:pStyle w:val="ListBullet"/>
      </w:pPr>
      <w:r>
        <w:t>CRUD Proveedores</w:t>
      </w:r>
    </w:p>
    <w:p>
      <w:pPr>
        <w:pStyle w:val="Heading1"/>
      </w:pPr>
      <w:r>
        <w:t>15. Dashboard Administrador (ventana de control)</w:t>
      </w:r>
    </w:p>
    <w:p>
      <w:r>
        <w:t>Objetivo: control operativo diario y colas de decisión.</w:t>
      </w:r>
    </w:p>
    <w:p>
      <w:pPr>
        <w:pStyle w:val="ListBullet"/>
      </w:pPr>
      <w:r>
        <w:t>Stock por tienda</w:t>
      </w:r>
    </w:p>
    <w:p>
      <w:pPr>
        <w:pStyle w:val="ListBullet"/>
      </w:pPr>
      <w:r>
        <w:t>Stock por estado</w:t>
      </w:r>
    </w:p>
    <w:p>
      <w:pPr>
        <w:pStyle w:val="ListBullet"/>
      </w:pPr>
      <w:r>
        <w:t>Piezas en reparación/personalización (por taller y antigüedad)</w:t>
      </w:r>
    </w:p>
    <w:p>
      <w:pPr>
        <w:pStyle w:val="ListBullet"/>
      </w:pPr>
      <w:r>
        <w:t>Total piezas apartadas (activas y caducadas)</w:t>
      </w:r>
    </w:p>
    <w:p>
      <w:pPr>
        <w:pStyle w:val="ListBullet"/>
      </w:pPr>
      <w:r>
        <w:t>Bandeja de apartados caducados pendiente de decisión</w:t>
      </w:r>
    </w:p>
    <w:p>
      <w:pPr>
        <w:pStyle w:val="ListBullet"/>
      </w:pPr>
      <w:r>
        <w:t>Alertas: tránsito prolongado, reparación fuera de plazo, bloqueos sin resolver</w:t>
      </w:r>
    </w:p>
    <w:p>
      <w:pPr>
        <w:pStyle w:val="Heading1"/>
      </w:pPr>
      <w:r>
        <w:t>16. Requerimientos no funcionales mínimos (Fase 1)</w:t>
      </w:r>
    </w:p>
    <w:p>
      <w:pPr>
        <w:pStyle w:val="ListBullet"/>
      </w:pPr>
      <w:r>
        <w:t>Multi-tienda y multiusuario con autenticación y roles.</w:t>
      </w:r>
    </w:p>
    <w:p>
      <w:pPr>
        <w:pStyle w:val="ListBullet"/>
      </w:pPr>
      <w:r>
        <w:t>Base de datos común en la nube con control de acceso por usuario.</w:t>
      </w:r>
    </w:p>
    <w:p>
      <w:pPr>
        <w:pStyle w:val="ListBullet"/>
      </w:pPr>
      <w:r>
        <w:t>Trazabilidad de movimientos (auditoría).</w:t>
      </w:r>
    </w:p>
    <w:p>
      <w:pPr>
        <w:pStyle w:val="ListBullet"/>
      </w:pPr>
      <w:r>
        <w:t>Rendimiento: búsqueda de inventario ágil con filtros.</w:t>
      </w:r>
    </w:p>
    <w:p>
      <w:pPr>
        <w:pStyle w:val="ListBullet"/>
      </w:pPr>
      <w:r>
        <w:t>Seguridad: campos sensibles visibles solo para roles autorizados.</w:t>
      </w:r>
    </w:p>
    <w:p>
      <w:pPr>
        <w:pStyle w:val="Heading1"/>
      </w:pPr>
      <w:r>
        <w:t>ANEXO A · Ejemplo de clasificación: Categoría “Anillos”</w:t>
      </w:r>
    </w:p>
    <w:p>
      <w:r>
        <w:t>Este anexo sirve como ejemplo de cómo se configura una categoría, sus subcategorías, atributos y dominios, y cómo se ve en la ficha dinámica de una pieza.</w:t>
      </w:r>
    </w:p>
    <w:p>
      <w:pPr>
        <w:pStyle w:val="Heading2"/>
      </w:pPr>
      <w:r>
        <w:t>A.1. Categoría y subcategorías</w:t>
      </w:r>
    </w:p>
    <w:p>
      <w:r>
        <w:t>Categoría: Anillos</w:t>
      </w:r>
    </w:p>
    <w:p>
      <w:r>
        <w:t>Subcategorías (ejemplos): Solitario, Alianza, Media alianza, Rosetón, Sello.</w:t>
      </w:r>
    </w:p>
    <w:p>
      <w:pPr>
        <w:pStyle w:val="Heading2"/>
      </w:pPr>
      <w:r>
        <w:t>A.2. Atributos comunes a todos los anillos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Tipo/Dominio</w:t>
            </w:r>
          </w:p>
        </w:tc>
        <w:tc>
          <w:tcPr>
            <w:tcW w:type="dxa" w:w="2880"/>
          </w:tcPr>
          <w:p>
            <w:r>
              <w:t>Regla</w:t>
            </w:r>
          </w:p>
        </w:tc>
      </w:tr>
      <w:tr>
        <w:tc>
          <w:tcPr>
            <w:tcW w:type="dxa" w:w="2880"/>
          </w:tcPr>
          <w:p>
            <w:r>
              <w:t>Material principal</w:t>
            </w:r>
          </w:p>
        </w:tc>
        <w:tc>
          <w:tcPr>
            <w:tcW w:type="dxa" w:w="2880"/>
          </w:tcPr>
          <w:p>
            <w:r>
              <w:t>Lista (dominio Material)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Color del metal</w:t>
            </w:r>
          </w:p>
        </w:tc>
        <w:tc>
          <w:tcPr>
            <w:tcW w:type="dxa" w:w="2880"/>
          </w:tcPr>
          <w:p>
            <w:r>
              <w:t>Lista (dominio Color metal)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Talla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Peso</w:t>
            </w:r>
          </w:p>
        </w:tc>
        <w:tc>
          <w:tcPr>
            <w:tcW w:type="dxa" w:w="2880"/>
          </w:tcPr>
          <w:p>
            <w:r>
              <w:t>Número (g)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Anchura del aro</w:t>
            </w:r>
          </w:p>
        </w:tc>
        <w:tc>
          <w:tcPr>
            <w:tcW w:type="dxa" w:w="2880"/>
          </w:tcPr>
          <w:p>
            <w:r>
              <w:t>Número (mm)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Acabado</w:t>
            </w:r>
          </w:p>
        </w:tc>
        <w:tc>
          <w:tcPr>
            <w:tcW w:type="dxa" w:w="2880"/>
          </w:tcPr>
          <w:p>
            <w:r>
              <w:t>Lista (dominio Acabado)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Grabado</w:t>
            </w:r>
          </w:p>
        </w:tc>
        <w:tc>
          <w:tcPr>
            <w:tcW w:type="dxa" w:w="2880"/>
          </w:tcPr>
          <w:p>
            <w:r>
              <w:t>Booleano (Sí/No)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Texto grabado</w:t>
            </w:r>
          </w:p>
        </w:tc>
        <w:tc>
          <w:tcPr>
            <w:tcW w:type="dxa" w:w="2880"/>
          </w:tcPr>
          <w:p>
            <w:r>
              <w:t>Texto (condicional: solo si Grabado = Sí)</w:t>
            </w:r>
          </w:p>
        </w:tc>
        <w:tc>
          <w:tcPr>
            <w:tcW w:type="dxa" w:w="2880"/>
          </w:tcPr>
          <w:p>
            <w:r>
              <w:t>Condicional</w:t>
            </w:r>
          </w:p>
        </w:tc>
      </w:tr>
    </w:tbl>
    <w:p>
      <w:pPr>
        <w:pStyle w:val="Heading2"/>
      </w:pPr>
      <w:r>
        <w:t>A.3. Atributos específicos por subcategoría (ejemplos)</w:t>
      </w:r>
    </w:p>
    <w:p>
      <w:r>
        <w:t>Solitario (además de los comunes): Tipo de piedra, Quilataje, Forma de la piedra, Color de la piedra, Pureza, Tipo de engaste.</w:t>
      </w:r>
    </w:p>
    <w:p>
      <w:r>
        <w:t>Alianza: Tipo de alianza, Piedras (Sí/No) + (si Sí) Número de piedras y Quilataje total.</w:t>
      </w:r>
    </w:p>
    <w:p>
      <w:r>
        <w:t>Rosetón: Piedra central + quilataje, número de piedras secundarias, quilataje total, forma del rosetón, tipo de engaste.</w:t>
      </w:r>
    </w:p>
    <w:p>
      <w:r>
        <w:t>Sello: Superficie grabable, motivo, relieve.</w:t>
      </w:r>
    </w:p>
    <w:p>
      <w:pPr>
        <w:pStyle w:val="Heading2"/>
      </w:pPr>
      <w:r>
        <w:t>A.4. Dominios y valores (ejemplos)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Dominio</w:t>
            </w:r>
          </w:p>
        </w:tc>
        <w:tc>
          <w:tcPr>
            <w:tcW w:type="dxa" w:w="4320"/>
          </w:tcPr>
          <w:p>
            <w:r>
              <w:t>Valores de dominio (ejemplos)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Oro 18k; Oro 14k; Plata 925; Platino</w:t>
            </w:r>
          </w:p>
        </w:tc>
      </w:tr>
      <w:tr>
        <w:tc>
          <w:tcPr>
            <w:tcW w:type="dxa" w:w="4320"/>
          </w:tcPr>
          <w:p>
            <w:r>
              <w:t>Color metal</w:t>
            </w:r>
          </w:p>
        </w:tc>
        <w:tc>
          <w:tcPr>
            <w:tcW w:type="dxa" w:w="4320"/>
          </w:tcPr>
          <w:p>
            <w:r>
              <w:t>Amarillo; Blanco; Rosa</w:t>
            </w:r>
          </w:p>
        </w:tc>
      </w:tr>
      <w:tr>
        <w:tc>
          <w:tcPr>
            <w:tcW w:type="dxa" w:w="4320"/>
          </w:tcPr>
          <w:p>
            <w:r>
              <w:t>Acabado</w:t>
            </w:r>
          </w:p>
        </w:tc>
        <w:tc>
          <w:tcPr>
            <w:tcW w:type="dxa" w:w="4320"/>
          </w:tcPr>
          <w:p>
            <w:r>
              <w:t>Brillo; Mate; Satinado</w:t>
            </w:r>
          </w:p>
        </w:tc>
      </w:tr>
      <w:tr>
        <w:tc>
          <w:tcPr>
            <w:tcW w:type="dxa" w:w="4320"/>
          </w:tcPr>
          <w:p>
            <w:r>
              <w:t>Tipo de piedra</w:t>
            </w:r>
          </w:p>
        </w:tc>
        <w:tc>
          <w:tcPr>
            <w:tcW w:type="dxa" w:w="4320"/>
          </w:tcPr>
          <w:p>
            <w:r>
              <w:t>Diamante; Zafiro; Rubí; Esmeralda</w:t>
            </w:r>
          </w:p>
        </w:tc>
      </w:tr>
      <w:tr>
        <w:tc>
          <w:tcPr>
            <w:tcW w:type="dxa" w:w="4320"/>
          </w:tcPr>
          <w:p>
            <w:r>
              <w:t>Forma piedra</w:t>
            </w:r>
          </w:p>
        </w:tc>
        <w:tc>
          <w:tcPr>
            <w:tcW w:type="dxa" w:w="4320"/>
          </w:tcPr>
          <w:p>
            <w:r>
              <w:t>Brillante; Princesa; Oval; Pera</w:t>
            </w:r>
          </w:p>
        </w:tc>
      </w:tr>
      <w:tr>
        <w:tc>
          <w:tcPr>
            <w:tcW w:type="dxa" w:w="4320"/>
          </w:tcPr>
          <w:p>
            <w:r>
              <w:t>Engaste</w:t>
            </w:r>
          </w:p>
        </w:tc>
        <w:tc>
          <w:tcPr>
            <w:tcW w:type="dxa" w:w="4320"/>
          </w:tcPr>
          <w:p>
            <w:r>
              <w:t>Garras; Bisel; Invisible</w:t>
            </w:r>
          </w:p>
        </w:tc>
      </w:tr>
    </w:tbl>
    <w:p>
      <w:pPr>
        <w:pStyle w:val="Heading2"/>
      </w:pPr>
      <w:r>
        <w:t>A.5. Ejemplo de ficha dinámica (Anillo · Solitario)</w:t>
      </w:r>
    </w:p>
    <w:p>
      <w:r>
        <w:t>Al seleccionar Categoría=Anillos y Subcategoría=Solitario, la ficha muestra los atributos comunes + los específicos del solitario.</w:t>
      </w:r>
    </w:p>
    <w:p>
      <w:r>
        <w:t>Ejemplo de valores en una pieza concreta: Material=Oro 18k, Color metal=Blanco, Talla=14, Tipo de piedra=Diamante, Quilataje=0.50, Engaste=Garras, Grabado=Sí, Texto="A&amp;C 2026".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