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529D" w14:textId="77777777" w:rsidR="00E54371" w:rsidRPr="00E54371" w:rsidRDefault="00E54371" w:rsidP="00E543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371">
        <w:rPr>
          <w:rFonts w:ascii="Times New Roman" w:eastAsia="Times New Roman" w:hAnsi="Times New Roman" w:cs="Times New Roman"/>
          <w:b/>
          <w:bCs/>
          <w:kern w:val="36"/>
          <w:sz w:val="48"/>
          <w:szCs w:val="48"/>
          <w14:ligatures w14:val="none"/>
        </w:rPr>
        <w:t> </w:t>
      </w:r>
    </w:p>
    <w:p w14:paraId="530652CF" w14:textId="77777777" w:rsidR="00E54371" w:rsidRPr="00E54371" w:rsidRDefault="00E54371" w:rsidP="00E543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371">
        <w:rPr>
          <w:rFonts w:ascii="Times New Roman" w:eastAsia="Times New Roman" w:hAnsi="Times New Roman" w:cs="Times New Roman"/>
          <w:b/>
          <w:bCs/>
          <w:kern w:val="36"/>
          <w:sz w:val="48"/>
          <w:szCs w:val="48"/>
          <w14:ligatures w14:val="none"/>
        </w:rPr>
        <w:t>FULL PRESENTATION TRANSCRIPT</w:t>
      </w:r>
    </w:p>
    <w:p w14:paraId="34A3C01E"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090E0E7A"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Paldea Finance Tracker – Milestone 2.0 Final Presentation</w:t>
      </w:r>
    </w:p>
    <w:p w14:paraId="7B4E0E0C" w14:textId="77777777" w:rsidR="00E54371" w:rsidRPr="00E54371" w:rsidRDefault="00495BF4" w:rsidP="00E54371">
      <w:pPr>
        <w:spacing w:after="0" w:line="240" w:lineRule="auto"/>
        <w:rPr>
          <w:rFonts w:ascii="Times New Roman" w:eastAsia="Times New Roman" w:hAnsi="Times New Roman" w:cs="Times New Roman"/>
          <w:kern w:val="0"/>
          <w14:ligatures w14:val="none"/>
        </w:rPr>
      </w:pPr>
      <w:r w:rsidRPr="00495BF4">
        <w:rPr>
          <w:rFonts w:ascii="Times New Roman" w:eastAsia="Times New Roman" w:hAnsi="Times New Roman" w:cs="Times New Roman"/>
          <w:noProof/>
          <w:kern w:val="0"/>
        </w:rPr>
        <w:pict w14:anchorId="029030E4">
          <v:rect id="_x0000_i1041" alt="" style="width:445.55pt;height:.05pt;mso-width-percent:0;mso-height-percent:0;mso-width-percent:0;mso-height-percent:0" o:hrpct="952" o:hralign="center" o:hrstd="t" o:hr="t" fillcolor="#a0a0a0" stroked="f"/>
        </w:pict>
      </w:r>
    </w:p>
    <w:p w14:paraId="7C7DD73F"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1 – Title Slide</w:t>
      </w:r>
    </w:p>
    <w:p w14:paraId="02B77384"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52D74A85"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“Hello everyone. Today Team Paldea will be presenting Milestone 2.0 of our Finance Tracker project. Our team includes Qiao Huang, Samantha Aguirre, Gerves Francois Baniakina, Rachan Sailamai, and Manish Shrivastav.</w:t>
      </w:r>
    </w:p>
    <w:p w14:paraId="2852B9AB"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will walk through our architecture, user stories, working code, agile progress, testing results, and key lessons learned.”</w:t>
      </w:r>
    </w:p>
    <w:p w14:paraId="08A9AE70" w14:textId="77777777" w:rsidR="00E54371" w:rsidRPr="00E54371" w:rsidRDefault="00495BF4" w:rsidP="00E54371">
      <w:pPr>
        <w:spacing w:after="0" w:line="240" w:lineRule="auto"/>
        <w:rPr>
          <w:rFonts w:ascii="Times New Roman" w:eastAsia="Times New Roman" w:hAnsi="Times New Roman" w:cs="Times New Roman"/>
          <w:kern w:val="0"/>
          <w14:ligatures w14:val="none"/>
        </w:rPr>
      </w:pPr>
      <w:r w:rsidRPr="00495BF4">
        <w:rPr>
          <w:rFonts w:ascii="Times New Roman" w:eastAsia="Times New Roman" w:hAnsi="Times New Roman" w:cs="Times New Roman"/>
          <w:noProof/>
          <w:kern w:val="0"/>
        </w:rPr>
        <w:pict w14:anchorId="16FD79BE">
          <v:rect id="_x0000_i1040" alt="" style="width:445.55pt;height:.05pt;mso-width-percent:0;mso-height-percent:0;mso-width-percent:0;mso-height-percent:0" o:hrpct="952" o:hralign="center" o:hrstd="t" o:hr="t" fillcolor="#a0a0a0" stroked="f"/>
        </w:pict>
      </w:r>
    </w:p>
    <w:p w14:paraId="7095C5F1"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2 – Project Overview &amp; Objectives</w:t>
      </w:r>
    </w:p>
    <w:p w14:paraId="3CD7A4CA"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37D9A4FC"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Qiao</w:t>
      </w:r>
    </w:p>
    <w:p w14:paraId="339B3BF4"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“For Milestone 2.0, our main objective was to develop a functional financial management system using Flask and a structured MVC architecture.</w:t>
      </w:r>
    </w:p>
    <w:p w14:paraId="6557C26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The scope of this milestone included real-time budget tracking, multi-currency support, data visualization, predictive forecasting, and a complete reporting system.</w:t>
      </w:r>
    </w:p>
    <w:p w14:paraId="72C9BD2F"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Our milestone fulfills key user stories around financial visibility, automated conversions, and future spending insights.”</w:t>
      </w:r>
    </w:p>
    <w:p w14:paraId="406BB720"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2FCB9503">
          <v:rect id="_x0000_i1027" style="width:0;height:1.5pt" o:hralign="center" o:hrstd="t" o:hr="t" fillcolor="#a0a0a0" stroked="f"/>
        </w:pict>
      </w:r>
    </w:p>
    <w:p w14:paraId="7F5D149F"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3 – Technical Architecture</w:t>
      </w:r>
    </w:p>
    <w:p w14:paraId="30ED1B5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133E8A9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Qiao</w:t>
      </w:r>
    </w:p>
    <w:p w14:paraId="615755E3"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“Our technical stack includes Flask for routing, SQLAlchemy as our ORM, SQLite for persistent storage, and Bootstrap 5 for UI.</w:t>
      </w:r>
    </w:p>
    <w:p w14:paraId="6E86C48C"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designed three core models:</w:t>
      </w:r>
    </w:p>
    <w:p w14:paraId="432F1BF5"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 xml:space="preserve">• </w:t>
      </w:r>
      <w:r w:rsidRPr="00E54371">
        <w:rPr>
          <w:rFonts w:ascii="Times New Roman" w:eastAsia="Times New Roman" w:hAnsi="Times New Roman" w:cs="Times New Roman"/>
          <w:b/>
          <w:bCs/>
          <w:kern w:val="0"/>
          <w14:ligatures w14:val="none"/>
        </w:rPr>
        <w:t>User</w:t>
      </w:r>
      <w:r w:rsidRPr="00E54371">
        <w:rPr>
          <w:rFonts w:ascii="Times New Roman" w:eastAsia="Times New Roman" w:hAnsi="Times New Roman" w:cs="Times New Roman"/>
          <w:kern w:val="0"/>
          <w14:ligatures w14:val="none"/>
        </w:rPr>
        <w:t>, which manages login and currency preferences.</w:t>
      </w:r>
    </w:p>
    <w:p w14:paraId="01504B7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 xml:space="preserve">• </w:t>
      </w:r>
      <w:r w:rsidRPr="00E54371">
        <w:rPr>
          <w:rFonts w:ascii="Times New Roman" w:eastAsia="Times New Roman" w:hAnsi="Times New Roman" w:cs="Times New Roman"/>
          <w:b/>
          <w:bCs/>
          <w:kern w:val="0"/>
          <w14:ligatures w14:val="none"/>
        </w:rPr>
        <w:t>Transaction</w:t>
      </w:r>
      <w:r w:rsidRPr="00E54371">
        <w:rPr>
          <w:rFonts w:ascii="Times New Roman" w:eastAsia="Times New Roman" w:hAnsi="Times New Roman" w:cs="Times New Roman"/>
          <w:kern w:val="0"/>
          <w14:ligatures w14:val="none"/>
        </w:rPr>
        <w:t>, a polymorphic class supporting both Income and Expense.</w:t>
      </w:r>
    </w:p>
    <w:p w14:paraId="006BD652"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 xml:space="preserve">• </w:t>
      </w:r>
      <w:r w:rsidRPr="00E54371">
        <w:rPr>
          <w:rFonts w:ascii="Times New Roman" w:eastAsia="Times New Roman" w:hAnsi="Times New Roman" w:cs="Times New Roman"/>
          <w:b/>
          <w:bCs/>
          <w:kern w:val="0"/>
          <w14:ligatures w14:val="none"/>
        </w:rPr>
        <w:t>ScheduledReport</w:t>
      </w:r>
      <w:r w:rsidRPr="00E54371">
        <w:rPr>
          <w:rFonts w:ascii="Times New Roman" w:eastAsia="Times New Roman" w:hAnsi="Times New Roman" w:cs="Times New Roman"/>
          <w:kern w:val="0"/>
          <w14:ligatures w14:val="none"/>
        </w:rPr>
        <w:t>, which enables automated recurring reports.</w:t>
      </w:r>
    </w:p>
    <w:p w14:paraId="4409C335"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These models support our controllers and templates in the MVC structure.”</w:t>
      </w:r>
    </w:p>
    <w:p w14:paraId="4592AF2A"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30205E1F">
          <v:rect id="_x0000_i1028" style="width:0;height:1.5pt" o:hralign="center" o:hrstd="t" o:hr="t" fillcolor="#a0a0a0" stroked="f"/>
        </w:pict>
      </w:r>
    </w:p>
    <w:p w14:paraId="2756C6DC"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4 – Code Deep Dive: Currency Logic</w:t>
      </w:r>
    </w:p>
    <w:p w14:paraId="4717AF4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72AC09F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Qiao</w:t>
      </w:r>
    </w:p>
    <w:p w14:paraId="4D071408"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slide shows our currency conversion route.</w:t>
      </w:r>
    </w:p>
    <w:p w14:paraId="239865E1"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The system attempts three levels of conversion:</w:t>
      </w:r>
    </w:p>
    <w:p w14:paraId="28891C97" w14:textId="77777777" w:rsidR="00E54371" w:rsidRPr="00E54371" w:rsidRDefault="00E54371" w:rsidP="00E543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Query the primary exchange rate API.</w:t>
      </w:r>
    </w:p>
    <w:p w14:paraId="2F1A9B02" w14:textId="77777777" w:rsidR="00E54371" w:rsidRPr="00E54371" w:rsidRDefault="00E54371" w:rsidP="00E543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If the primary API fails, use a secondary fallback.</w:t>
      </w:r>
    </w:p>
    <w:p w14:paraId="2AB96083" w14:textId="77777777" w:rsidR="00E54371" w:rsidRPr="00E54371" w:rsidRDefault="00E54371" w:rsidP="00E543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If both fail, default to a safe 1:1 rate.</w:t>
      </w:r>
    </w:p>
    <w:p w14:paraId="24B851B1" w14:textId="77777777" w:rsidR="00E54371" w:rsidRPr="00E54371" w:rsidRDefault="00E54371" w:rsidP="00E54371">
      <w:pPr>
        <w:spacing w:before="100" w:beforeAutospacing="1" w:after="100" w:afterAutospacing="1" w:line="240" w:lineRule="auto"/>
        <w:ind w:left="720"/>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Once the rate is found, the amount is multiplied and saved into a conversion history table.</w:t>
      </w:r>
    </w:p>
    <w:p w14:paraId="4E22AD72" w14:textId="77777777" w:rsidR="00E54371" w:rsidRPr="00E54371" w:rsidRDefault="00E54371" w:rsidP="00E54371">
      <w:pPr>
        <w:spacing w:before="100" w:beforeAutospacing="1" w:after="100" w:afterAutospacing="1" w:line="240" w:lineRule="auto"/>
        <w:ind w:left="720"/>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ensures reliability even when external APIs are unstable.”</w:t>
      </w:r>
    </w:p>
    <w:p w14:paraId="2364C675"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64C7906B">
          <v:rect id="_x0000_i1029" style="width:0;height:1.5pt" o:hralign="center" o:hrstd="t" o:hr="t" fillcolor="#a0a0a0" stroked="f"/>
        </w:pict>
      </w:r>
    </w:p>
    <w:p w14:paraId="6C1E3A63"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5 – Epic 4: Enhanced Visualization</w:t>
      </w:r>
    </w:p>
    <w:p w14:paraId="5EB2D788"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0E036815"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Samantha</w:t>
      </w:r>
    </w:p>
    <w:p w14:paraId="33BCA1C8"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“For visualization, we focused on giving the user meaningful insight into their spending.</w:t>
      </w:r>
    </w:p>
    <w:p w14:paraId="66973951"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Inside the home route, the system dynamically calculates the spending relative to the user’s budget.</w:t>
      </w:r>
    </w:p>
    <w:p w14:paraId="527EB31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Based on percentages, the progress bar changes color:</w:t>
      </w:r>
    </w:p>
    <w:p w14:paraId="61A94AF3"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 Green below 70%</w:t>
      </w:r>
    </w:p>
    <w:p w14:paraId="36AD4510"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 Yellow between 70% and 90%</w:t>
      </w:r>
    </w:p>
    <w:p w14:paraId="303F4929"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 Red above 90%</w:t>
      </w:r>
    </w:p>
    <w:p w14:paraId="06E6754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gives users an immediate understanding of their financial health.”</w:t>
      </w:r>
    </w:p>
    <w:p w14:paraId="522DCDEE"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56FC4BCF">
          <v:rect id="_x0000_i1030" style="width:0;height:1.5pt" o:hralign="center" o:hrstd="t" o:hr="t" fillcolor="#a0a0a0" stroked="f"/>
        </w:pict>
      </w:r>
    </w:p>
    <w:p w14:paraId="4241F296"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6 – Code Deep Dive: AI Forecasting</w:t>
      </w:r>
    </w:p>
    <w:p w14:paraId="77043723"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77C420F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Samantha</w:t>
      </w:r>
    </w:p>
    <w:p w14:paraId="3A31891C"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code is our forecasting engine using linear regression.</w:t>
      </w:r>
    </w:p>
    <w:p w14:paraId="1965C7DF"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take historical monthly expenses, convert them into training vectors, and train a LinearRegression model.</w:t>
      </w:r>
    </w:p>
    <w:p w14:paraId="70B18189"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then predict next month’s expenses and generate a confidence score using the R-squared value.</w:t>
      </w:r>
    </w:p>
    <w:p w14:paraId="64C36891"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feature helps users anticipate future financial needs based on their past behavior.”</w:t>
      </w:r>
    </w:p>
    <w:p w14:paraId="378F6FFF"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27F53677">
          <v:rect id="_x0000_i1031" style="width:0;height:1.5pt" o:hralign="center" o:hrstd="t" o:hr="t" fillcolor="#a0a0a0" stroked="f"/>
        </w:pict>
      </w:r>
    </w:p>
    <w:p w14:paraId="14C86401"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7 – Epic 5: Export &amp; Reporting</w:t>
      </w:r>
    </w:p>
    <w:p w14:paraId="66B1301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368E9EE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Gerves</w:t>
      </w:r>
    </w:p>
    <w:p w14:paraId="1872AE68"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“Next is the reporting and export functionality.</w:t>
      </w:r>
    </w:p>
    <w:p w14:paraId="02997EE3"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introduced PDF generation, CSV export, and tax summary filtering.</w:t>
      </w:r>
    </w:p>
    <w:p w14:paraId="55A5794B"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Our PDF engine uses ReportLab to draw tables, embed charts, and format pages directly in memory.</w:t>
      </w:r>
    </w:p>
    <w:p w14:paraId="482B203E"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allows users to download reports instantly without file system storage.”</w:t>
      </w:r>
    </w:p>
    <w:p w14:paraId="3980CDE1"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05374D26">
          <v:rect id="_x0000_i1032" style="width:0;height:1.5pt" o:hralign="center" o:hrstd="t" o:hr="t" fillcolor="#a0a0a0" stroked="f"/>
        </w:pict>
      </w:r>
    </w:p>
    <w:p w14:paraId="1D670509"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8 – Code Deep Dive: PDF Engine</w:t>
      </w:r>
    </w:p>
    <w:p w14:paraId="1438EB03"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669C832A"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Gerves</w:t>
      </w:r>
    </w:p>
    <w:p w14:paraId="1D60E17D"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code shows how we dynamically create PDFs.</w:t>
      </w:r>
    </w:p>
    <w:p w14:paraId="28B73C39"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Inside a temporary directory, we generate charts using Matplotlib, save them as images, and embed them inside the PDF using a flowable object.</w:t>
      </w:r>
    </w:p>
    <w:p w14:paraId="188E18F2"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After assembling the content, the PDF is built and streamed back to the user.</w:t>
      </w:r>
    </w:p>
    <w:p w14:paraId="1E5FC545"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solution is fast, efficient, and doesn’t require server-side storage.”</w:t>
      </w:r>
    </w:p>
    <w:p w14:paraId="5B1FBB3C"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35975D15">
          <v:rect id="_x0000_i1033" style="width:0;height:1.5pt" o:hralign="center" o:hrstd="t" o:hr="t" fillcolor="#a0a0a0" stroked="f"/>
        </w:pict>
      </w:r>
    </w:p>
    <w:p w14:paraId="6B5EDE76"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9 – Agile Methodology &amp; Process</w:t>
      </w:r>
    </w:p>
    <w:p w14:paraId="318943C3"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79F96315"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Rachan</w:t>
      </w:r>
    </w:p>
    <w:p w14:paraId="6F5B1543"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followed a two-week sprint cycle, aligned with course deadlines.</w:t>
      </w:r>
    </w:p>
    <w:p w14:paraId="144B961E"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decomposed user stories into manageable tasks to track progress.</w:t>
      </w:r>
    </w:p>
    <w:p w14:paraId="32CAAA3B"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also maintained burndown charts to visualize our velocity and remaining work.</w:t>
      </w:r>
    </w:p>
    <w:p w14:paraId="23F16F2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Our process became more stable after Sprint 2, once we refined task sizing and team coordination.”</w:t>
      </w:r>
    </w:p>
    <w:p w14:paraId="0041FD38"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0ADAC3E7">
          <v:rect id="_x0000_i1034" style="width:0;height:1.5pt" o:hralign="center" o:hrstd="t" o:hr="t" fillcolor="#a0a0a0" stroked="f"/>
        </w:pict>
      </w:r>
    </w:p>
    <w:p w14:paraId="7E9BFCD8"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10 – Quality Assurance &amp; Lessons</w:t>
      </w:r>
    </w:p>
    <w:p w14:paraId="413FF0D1"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4D065DDD"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Manish</w:t>
      </w:r>
    </w:p>
    <w:p w14:paraId="084BBC42"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“For quality assurance, we used pytest for unit and integration testing.</w:t>
      </w:r>
    </w:p>
    <w:p w14:paraId="5C81E2B4"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Unit tests validated model constraints, while integration tests checked key routes and redirects.</w:t>
      </w:r>
    </w:p>
    <w:p w14:paraId="7DE2EC1A"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Our test coverage is approximately 87%.</w:t>
      </w:r>
    </w:p>
    <w:p w14:paraId="0588A40D"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Challenges included PDF rendering in headless mode and CI reliability, but our structured MVC approach made debugging easier.”</w:t>
      </w:r>
    </w:p>
    <w:p w14:paraId="660A2AE9"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059A1D29">
          <v:rect id="_x0000_i1035" style="width:0;height:1.5pt" o:hralign="center" o:hrstd="t" o:hr="t" fillcolor="#a0a0a0" stroked="f"/>
        </w:pict>
      </w:r>
    </w:p>
    <w:p w14:paraId="2F1D2295"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11 – Burndown Chart – Milestone 2.0</w:t>
      </w:r>
    </w:p>
    <w:p w14:paraId="0BC4843A"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0D114D3C"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Presenter: Any team member</w:t>
      </w:r>
    </w:p>
    <w:p w14:paraId="6BCCB80F"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“This is our final burndown chart for the milestone.</w:t>
      </w:r>
    </w:p>
    <w:p w14:paraId="27BDF94F"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The blue line represents the ideal burn rate, while the red line shows our actual progress.</w:t>
      </w:r>
    </w:p>
    <w:p w14:paraId="3E1207B8"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initially fell behind schedule due to API and environment issues, but after adjusting our task structure, we caught up and completed the milestone before the deadline.”</w:t>
      </w:r>
    </w:p>
    <w:p w14:paraId="54BEE447" w14:textId="77777777" w:rsidR="00E54371" w:rsidRPr="00E54371" w:rsidRDefault="00E54371" w:rsidP="00E54371">
      <w:pPr>
        <w:spacing w:after="0"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pict w14:anchorId="045D4FC4">
          <v:rect id="_x0000_i1036" style="width:0;height:1.5pt" o:hralign="center" o:hrstd="t" o:hr="t" fillcolor="#a0a0a0" stroked="f"/>
        </w:pict>
      </w:r>
    </w:p>
    <w:p w14:paraId="3A4847BE"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 Key Successes</w:t>
      </w:r>
    </w:p>
    <w:p w14:paraId="01F51699"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3270A581"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New Slide 1</w:t>
      </w:r>
    </w:p>
    <w:p w14:paraId="268A0901"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“Our key successes include completing the full MVC finance tracking system, delivering forecasting and visualization features on time, improving system stability, and maintaining strong communication throughout the project.”</w:t>
      </w:r>
    </w:p>
    <w:p w14:paraId="18882C41" w14:textId="77777777" w:rsidR="00E54371" w:rsidRPr="00E54371" w:rsidRDefault="00495BF4" w:rsidP="00E54371">
      <w:pPr>
        <w:spacing w:after="0" w:line="240" w:lineRule="auto"/>
        <w:rPr>
          <w:rFonts w:ascii="Times New Roman" w:eastAsia="Times New Roman" w:hAnsi="Times New Roman" w:cs="Times New Roman"/>
          <w:kern w:val="0"/>
          <w14:ligatures w14:val="none"/>
        </w:rPr>
      </w:pPr>
      <w:r w:rsidRPr="00495BF4">
        <w:rPr>
          <w:rFonts w:ascii="Times New Roman" w:eastAsia="Times New Roman" w:hAnsi="Times New Roman" w:cs="Times New Roman"/>
          <w:noProof/>
          <w:kern w:val="0"/>
        </w:rPr>
        <w:pict w14:anchorId="203F51EB">
          <v:rect id="_x0000_i1039" alt="" style="width:445.55pt;height:.05pt;mso-width-percent:0;mso-height-percent:0;mso-width-percent:0;mso-height-percent:0" o:hrpct="952" o:hralign="center" o:hrstd="t" o:hr="t" fillcolor="#a0a0a0" stroked="f"/>
        </w:pict>
      </w:r>
    </w:p>
    <w:p w14:paraId="3B1678A1"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 Key Failures &amp; Challenges</w:t>
      </w:r>
    </w:p>
    <w:p w14:paraId="681E891C"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767EE21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New Slide 2</w:t>
      </w:r>
    </w:p>
    <w:p w14:paraId="7CB4944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experienced challenges such as API instability, additional debugging required for forecasting and PDF generation, inconsistent sprint velocity early in the project, and limited time for UI/UX polishing.”</w:t>
      </w:r>
    </w:p>
    <w:p w14:paraId="36A92E4D" w14:textId="77777777" w:rsidR="00E54371" w:rsidRPr="00E54371" w:rsidRDefault="00495BF4" w:rsidP="00E54371">
      <w:pPr>
        <w:spacing w:after="0" w:line="240" w:lineRule="auto"/>
        <w:rPr>
          <w:rFonts w:ascii="Times New Roman" w:eastAsia="Times New Roman" w:hAnsi="Times New Roman" w:cs="Times New Roman"/>
          <w:kern w:val="0"/>
          <w14:ligatures w14:val="none"/>
        </w:rPr>
      </w:pPr>
      <w:r w:rsidRPr="00495BF4">
        <w:rPr>
          <w:rFonts w:ascii="Times New Roman" w:eastAsia="Times New Roman" w:hAnsi="Times New Roman" w:cs="Times New Roman"/>
          <w:noProof/>
          <w:kern w:val="0"/>
        </w:rPr>
        <w:pict w14:anchorId="300F6927">
          <v:rect id="_x0000_i1038" alt="" style="width:445.55pt;height:.05pt;mso-width-percent:0;mso-height-percent:0;mso-width-percent:0;mso-height-percent:0" o:hrpct="952" o:hralign="center" o:hrstd="t" o:hr="t" fillcolor="#a0a0a0" stroked="f"/>
        </w:pict>
      </w:r>
    </w:p>
    <w:p w14:paraId="136216F8"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 Lessons Learned</w:t>
      </w:r>
    </w:p>
    <w:p w14:paraId="3517D726"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6EA5A95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b/>
          <w:bCs/>
          <w:kern w:val="0"/>
          <w14:ligatures w14:val="none"/>
        </w:rPr>
        <w:t>New Slide 3</w:t>
      </w:r>
    </w:p>
    <w:p w14:paraId="645E54F5"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“Our biggest lessons were the value of strong communication in distributed teamwork, breaking down user stories into smaller units for consistent velocity, testing early to prevent major issues later, and designing for API failures to increase system reliability.”</w:t>
      </w:r>
    </w:p>
    <w:p w14:paraId="11EE197E" w14:textId="77777777" w:rsidR="00E54371" w:rsidRPr="00E54371" w:rsidRDefault="00495BF4" w:rsidP="00E54371">
      <w:pPr>
        <w:spacing w:after="0" w:line="240" w:lineRule="auto"/>
        <w:rPr>
          <w:rFonts w:ascii="Times New Roman" w:eastAsia="Times New Roman" w:hAnsi="Times New Roman" w:cs="Times New Roman"/>
          <w:kern w:val="0"/>
          <w14:ligatures w14:val="none"/>
        </w:rPr>
      </w:pPr>
      <w:r w:rsidRPr="00495BF4">
        <w:rPr>
          <w:rFonts w:ascii="Times New Roman" w:eastAsia="Times New Roman" w:hAnsi="Times New Roman" w:cs="Times New Roman"/>
          <w:noProof/>
          <w:kern w:val="0"/>
        </w:rPr>
        <w:pict w14:anchorId="64FC273E">
          <v:rect id="_x0000_i1037" alt="" style="width:445.55pt;height:.05pt;mso-width-percent:0;mso-height-percent:0;mso-width-percent:0;mso-height-percent:0" o:hrpct="952" o:hralign="center" o:hrstd="t" o:hr="t" fillcolor="#a0a0a0" stroked="f"/>
        </w:pict>
      </w:r>
    </w:p>
    <w:p w14:paraId="7654AC1F" w14:textId="77777777" w:rsidR="00E54371" w:rsidRPr="00E54371" w:rsidRDefault="00E54371" w:rsidP="00E543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371">
        <w:rPr>
          <w:rFonts w:ascii="Times New Roman" w:eastAsia="Times New Roman" w:hAnsi="Times New Roman" w:cs="Times New Roman"/>
          <w:b/>
          <w:bCs/>
          <w:kern w:val="0"/>
          <w:sz w:val="36"/>
          <w:szCs w:val="36"/>
          <w14:ligatures w14:val="none"/>
        </w:rPr>
        <w:t>Slide – Live Demonstration</w:t>
      </w:r>
    </w:p>
    <w:p w14:paraId="295C07B1"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p>
    <w:p w14:paraId="4A9FD077" w14:textId="77777777" w:rsidR="00E54371" w:rsidRPr="00E54371" w:rsidRDefault="00E54371" w:rsidP="00E54371">
      <w:pPr>
        <w:spacing w:before="100" w:beforeAutospacing="1" w:after="100" w:afterAutospacing="1" w:line="240" w:lineRule="auto"/>
        <w:rPr>
          <w:rFonts w:ascii="Times New Roman" w:eastAsia="Times New Roman" w:hAnsi="Times New Roman" w:cs="Times New Roman"/>
          <w:kern w:val="0"/>
          <w14:ligatures w14:val="none"/>
        </w:rPr>
      </w:pPr>
      <w:r w:rsidRPr="00E54371">
        <w:rPr>
          <w:rFonts w:ascii="Times New Roman" w:eastAsia="Times New Roman" w:hAnsi="Times New Roman" w:cs="Times New Roman"/>
          <w:kern w:val="0"/>
          <w14:ligatures w14:val="none"/>
        </w:rPr>
        <w:t>“We will now move into our live demonstration where we showcase the main features of the application, including transaction management, visualization, forecasting, reporting, and currency conversion.”</w:t>
      </w:r>
    </w:p>
    <w:p w14:paraId="5A8CBE76" w14:textId="77777777" w:rsidR="00BE5404" w:rsidRDefault="00BE5404"/>
    <w:sectPr w:rsidR="00BE5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A60E6"/>
    <w:multiLevelType w:val="multilevel"/>
    <w:tmpl w:val="1F74F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36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371"/>
    <w:rsid w:val="00322EEB"/>
    <w:rsid w:val="00345D87"/>
    <w:rsid w:val="00495BF4"/>
    <w:rsid w:val="004C39BB"/>
    <w:rsid w:val="009B300C"/>
    <w:rsid w:val="00BE5404"/>
    <w:rsid w:val="00E54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B956"/>
  <w15:chartTrackingRefBased/>
  <w15:docId w15:val="{A26A8E5B-34E3-BF4E-85C8-BF64A77F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371"/>
    <w:rPr>
      <w:rFonts w:eastAsiaTheme="majorEastAsia" w:cstheme="majorBidi"/>
      <w:color w:val="272727" w:themeColor="text1" w:themeTint="D8"/>
    </w:rPr>
  </w:style>
  <w:style w:type="paragraph" w:styleId="Title">
    <w:name w:val="Title"/>
    <w:basedOn w:val="Normal"/>
    <w:next w:val="Normal"/>
    <w:link w:val="TitleChar"/>
    <w:uiPriority w:val="10"/>
    <w:qFormat/>
    <w:rsid w:val="00E5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371"/>
    <w:pPr>
      <w:spacing w:before="160"/>
      <w:jc w:val="center"/>
    </w:pPr>
    <w:rPr>
      <w:i/>
      <w:iCs/>
      <w:color w:val="404040" w:themeColor="text1" w:themeTint="BF"/>
    </w:rPr>
  </w:style>
  <w:style w:type="character" w:customStyle="1" w:styleId="QuoteChar">
    <w:name w:val="Quote Char"/>
    <w:basedOn w:val="DefaultParagraphFont"/>
    <w:link w:val="Quote"/>
    <w:uiPriority w:val="29"/>
    <w:rsid w:val="00E54371"/>
    <w:rPr>
      <w:i/>
      <w:iCs/>
      <w:color w:val="404040" w:themeColor="text1" w:themeTint="BF"/>
    </w:rPr>
  </w:style>
  <w:style w:type="paragraph" w:styleId="ListParagraph">
    <w:name w:val="List Paragraph"/>
    <w:basedOn w:val="Normal"/>
    <w:uiPriority w:val="34"/>
    <w:qFormat/>
    <w:rsid w:val="00E54371"/>
    <w:pPr>
      <w:ind w:left="720"/>
      <w:contextualSpacing/>
    </w:pPr>
  </w:style>
  <w:style w:type="character" w:styleId="IntenseEmphasis">
    <w:name w:val="Intense Emphasis"/>
    <w:basedOn w:val="DefaultParagraphFont"/>
    <w:uiPriority w:val="21"/>
    <w:qFormat/>
    <w:rsid w:val="00E54371"/>
    <w:rPr>
      <w:i/>
      <w:iCs/>
      <w:color w:val="0F4761" w:themeColor="accent1" w:themeShade="BF"/>
    </w:rPr>
  </w:style>
  <w:style w:type="paragraph" w:styleId="IntenseQuote">
    <w:name w:val="Intense Quote"/>
    <w:basedOn w:val="Normal"/>
    <w:next w:val="Normal"/>
    <w:link w:val="IntenseQuoteChar"/>
    <w:uiPriority w:val="30"/>
    <w:qFormat/>
    <w:rsid w:val="00E54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371"/>
    <w:rPr>
      <w:i/>
      <w:iCs/>
      <w:color w:val="0F4761" w:themeColor="accent1" w:themeShade="BF"/>
    </w:rPr>
  </w:style>
  <w:style w:type="character" w:styleId="IntenseReference">
    <w:name w:val="Intense Reference"/>
    <w:basedOn w:val="DefaultParagraphFont"/>
    <w:uiPriority w:val="32"/>
    <w:qFormat/>
    <w:rsid w:val="00E54371"/>
    <w:rPr>
      <w:b/>
      <w:bCs/>
      <w:smallCaps/>
      <w:color w:val="0F4761" w:themeColor="accent1" w:themeShade="BF"/>
      <w:spacing w:val="5"/>
    </w:rPr>
  </w:style>
  <w:style w:type="paragraph" w:customStyle="1" w:styleId="p1">
    <w:name w:val="p1"/>
    <w:basedOn w:val="Normal"/>
    <w:rsid w:val="00E543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54371"/>
  </w:style>
  <w:style w:type="character" w:customStyle="1" w:styleId="apple-converted-space">
    <w:name w:val="apple-converted-space"/>
    <w:basedOn w:val="DefaultParagraphFont"/>
    <w:rsid w:val="00E54371"/>
  </w:style>
  <w:style w:type="paragraph" w:customStyle="1" w:styleId="p2">
    <w:name w:val="p2"/>
    <w:basedOn w:val="Normal"/>
    <w:rsid w:val="00E543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543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E543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54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Qiao Huang</dc:creator>
  <cp:keywords/>
  <dc:description/>
  <cp:lastModifiedBy>Qiao Huang</cp:lastModifiedBy>
  <cp:revision>1</cp:revision>
  <dcterms:created xsi:type="dcterms:W3CDTF">2025-11-20T23:37:00Z</dcterms:created>
  <dcterms:modified xsi:type="dcterms:W3CDTF">2025-11-20T23:37:00Z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6a3520-2f75-449a-9647-37aa285e138c_Enabled">
    <vt:lpwstr>true</vt:lpwstr>
  </property>
  <property fmtid="{D5CDD505-2E9C-101B-9397-08002B2CF9AE}" pid="3" name="MSIP_Label_186a3520-2f75-449a-9647-37aa285e138c_SetDate">
    <vt:lpwstr>2025-11-20T23:37:19Z</vt:lpwstr>
  </property>
  <property fmtid="{D5CDD505-2E9C-101B-9397-08002B2CF9AE}" pid="4" name="MSIP_Label_186a3520-2f75-449a-9647-37aa285e138c_Method">
    <vt:lpwstr>Standard</vt:lpwstr>
  </property>
  <property fmtid="{D5CDD505-2E9C-101B-9397-08002B2CF9AE}" pid="5" name="MSIP_Label_186a3520-2f75-449a-9647-37aa285e138c_Name">
    <vt:lpwstr>defa4170-0d19-0005-0004-bc88714345d2</vt:lpwstr>
  </property>
  <property fmtid="{D5CDD505-2E9C-101B-9397-08002B2CF9AE}" pid="6" name="MSIP_Label_186a3520-2f75-449a-9647-37aa285e138c_SiteId">
    <vt:lpwstr>19afb2c8-5efd-4718-a107-530ed963d11e</vt:lpwstr>
  </property>
  <property fmtid="{D5CDD505-2E9C-101B-9397-08002B2CF9AE}" pid="7" name="MSIP_Label_186a3520-2f75-449a-9647-37aa285e138c_ActionId">
    <vt:lpwstr>c90de1db-6317-4ed2-9fc6-f734780647e7</vt:lpwstr>
  </property>
  <property fmtid="{D5CDD505-2E9C-101B-9397-08002B2CF9AE}" pid="8" name="MSIP_Label_186a3520-2f75-449a-9647-37aa285e138c_ContentBits">
    <vt:lpwstr>0</vt:lpwstr>
  </property>
  <property fmtid="{D5CDD505-2E9C-101B-9397-08002B2CF9AE}" pid="9" name="MSIP_Label_186a3520-2f75-449a-9647-37aa285e138c_Tag">
    <vt:lpwstr>50, 3, 0, 1</vt:lpwstr>
  </property>
</Properties>
</file>