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F7ED7" w14:textId="2B2B6252" w:rsidR="002B5834" w:rsidRPr="002B5834" w:rsidRDefault="002B5834" w:rsidP="003E05FA">
      <w:pPr>
        <w:jc w:val="center"/>
        <w:rPr>
          <w:rFonts w:ascii="Calibri" w:hAnsi="Calibri" w:cs="Calibri"/>
          <w:b/>
          <w:bCs/>
          <w:sz w:val="22"/>
          <w:szCs w:val="22"/>
        </w:rPr>
      </w:pPr>
      <w:r w:rsidRPr="002B5834">
        <w:rPr>
          <w:rFonts w:ascii="Calibri" w:hAnsi="Calibri" w:cs="Calibri"/>
          <w:b/>
          <w:bCs/>
          <w:sz w:val="22"/>
          <w:szCs w:val="22"/>
        </w:rPr>
        <w:t>FX Hedging</w:t>
      </w:r>
      <w:r w:rsidR="006568F1">
        <w:rPr>
          <w:rFonts w:ascii="Calibri" w:hAnsi="Calibri" w:cs="Calibri"/>
          <w:b/>
          <w:bCs/>
          <w:sz w:val="22"/>
          <w:szCs w:val="22"/>
        </w:rPr>
        <w:t xml:space="preserve"> – GBM </w:t>
      </w:r>
    </w:p>
    <w:p w14:paraId="2BE7B1BA" w14:textId="77777777" w:rsidR="00113F66" w:rsidRDefault="002B5834" w:rsidP="002B5834">
      <w:pPr>
        <w:jc w:val="both"/>
        <w:rPr>
          <w:rFonts w:ascii="Calibri" w:hAnsi="Calibri" w:cs="Calibri"/>
          <w:b/>
          <w:bCs/>
          <w:sz w:val="22"/>
          <w:szCs w:val="22"/>
        </w:rPr>
      </w:pPr>
      <w:r w:rsidRPr="002B5834">
        <w:rPr>
          <w:rFonts w:ascii="Calibri" w:hAnsi="Calibri" w:cs="Calibri"/>
          <w:b/>
          <w:bCs/>
          <w:sz w:val="22"/>
          <w:szCs w:val="22"/>
        </w:rPr>
        <w:t>Introduction</w:t>
      </w:r>
    </w:p>
    <w:p w14:paraId="2DA76B4A" w14:textId="7B302BF3" w:rsidR="003E05FA" w:rsidRPr="00113F66" w:rsidRDefault="002B5834" w:rsidP="002B5834">
      <w:pPr>
        <w:jc w:val="both"/>
        <w:rPr>
          <w:rFonts w:ascii="Calibri" w:hAnsi="Calibri" w:cs="Calibri"/>
          <w:b/>
          <w:bCs/>
          <w:sz w:val="22"/>
          <w:szCs w:val="22"/>
        </w:rPr>
      </w:pPr>
      <w:r w:rsidRPr="002B5834">
        <w:rPr>
          <w:rFonts w:ascii="Calibri" w:hAnsi="Calibri" w:cs="Calibri"/>
          <w:sz w:val="22"/>
          <w:szCs w:val="22"/>
        </w:rPr>
        <w:t xml:space="preserve">A </w:t>
      </w:r>
      <w:r w:rsidR="00113F66">
        <w:rPr>
          <w:rFonts w:ascii="Calibri" w:hAnsi="Calibri" w:cs="Calibri"/>
          <w:sz w:val="22"/>
          <w:szCs w:val="22"/>
        </w:rPr>
        <w:t xml:space="preserve">company based in the US is </w:t>
      </w:r>
      <w:r w:rsidRPr="002B5834">
        <w:rPr>
          <w:rFonts w:ascii="Calibri" w:hAnsi="Calibri" w:cs="Calibri"/>
          <w:sz w:val="22"/>
          <w:szCs w:val="22"/>
        </w:rPr>
        <w:t>expecting monthly EUR receivables over the next 12 months faces foreign exchang</w:t>
      </w:r>
      <w:r w:rsidR="003E05FA">
        <w:rPr>
          <w:rFonts w:ascii="Calibri" w:hAnsi="Calibri" w:cs="Calibri"/>
          <w:sz w:val="22"/>
          <w:szCs w:val="22"/>
        </w:rPr>
        <w:t>e</w:t>
      </w:r>
      <w:r w:rsidRPr="002B5834">
        <w:rPr>
          <w:rFonts w:ascii="Calibri" w:hAnsi="Calibri" w:cs="Calibri"/>
          <w:sz w:val="22"/>
          <w:szCs w:val="22"/>
        </w:rPr>
        <w:t xml:space="preserve"> risk</w:t>
      </w:r>
      <w:r w:rsidR="00113F66">
        <w:rPr>
          <w:rFonts w:ascii="Calibri" w:hAnsi="Calibri" w:cs="Calibri"/>
          <w:sz w:val="22"/>
          <w:szCs w:val="22"/>
        </w:rPr>
        <w:t>,</w:t>
      </w:r>
      <w:r w:rsidRPr="002B5834">
        <w:rPr>
          <w:rFonts w:ascii="Calibri" w:hAnsi="Calibri" w:cs="Calibri"/>
          <w:sz w:val="22"/>
          <w:szCs w:val="22"/>
        </w:rPr>
        <w:t xml:space="preserve"> the USD value of those euro cash flows will vary with EUR/USD exchange rate movements. We consider three strategies to manage this risk:</w:t>
      </w:r>
    </w:p>
    <w:p w14:paraId="2522A1EA" w14:textId="0212FB53" w:rsidR="003E05FA" w:rsidRPr="003E05FA" w:rsidRDefault="003E05FA" w:rsidP="003E05FA">
      <w:pPr>
        <w:jc w:val="both"/>
        <w:rPr>
          <w:rFonts w:ascii="Calibri" w:hAnsi="Calibri" w:cs="Calibri"/>
          <w:sz w:val="22"/>
          <w:szCs w:val="22"/>
        </w:rPr>
      </w:pPr>
      <w:r w:rsidRPr="003E05FA">
        <w:rPr>
          <w:rFonts w:ascii="Calibri" w:hAnsi="Calibri" w:cs="Calibri"/>
          <w:b/>
          <w:bCs/>
          <w:sz w:val="22"/>
          <w:szCs w:val="22"/>
        </w:rPr>
        <w:t>Unhedged:</w:t>
      </w:r>
      <w:r w:rsidRPr="003E05FA">
        <w:rPr>
          <w:rFonts w:ascii="Calibri" w:hAnsi="Calibri" w:cs="Calibri"/>
          <w:sz w:val="22"/>
          <w:szCs w:val="22"/>
        </w:rPr>
        <w:t xml:space="preserve"> The firm leaves its EUR receivables exposed to FX market movements. If the EUR strengthens, the company benefits by receiving more USD on conversion. However, if the EUR weakens, the firm takes the full loss, as there is no protection against adverse exchange rate moves.</w:t>
      </w:r>
    </w:p>
    <w:p w14:paraId="3CAA4262" w14:textId="35FAA7E0" w:rsidR="003E05FA" w:rsidRPr="003E05FA" w:rsidRDefault="003E05FA" w:rsidP="003E05FA">
      <w:pPr>
        <w:jc w:val="both"/>
        <w:rPr>
          <w:rFonts w:ascii="Calibri" w:hAnsi="Calibri" w:cs="Calibri"/>
          <w:sz w:val="22"/>
          <w:szCs w:val="22"/>
        </w:rPr>
      </w:pPr>
      <w:r w:rsidRPr="003E05FA">
        <w:rPr>
          <w:rFonts w:ascii="Calibri" w:hAnsi="Calibri" w:cs="Calibri"/>
          <w:b/>
          <w:bCs/>
          <w:sz w:val="22"/>
          <w:szCs w:val="22"/>
        </w:rPr>
        <w:t>Forward Hedge:</w:t>
      </w:r>
      <w:r w:rsidRPr="003E05FA">
        <w:rPr>
          <w:rFonts w:ascii="Calibri" w:hAnsi="Calibri" w:cs="Calibri"/>
          <w:sz w:val="22"/>
          <w:szCs w:val="22"/>
        </w:rPr>
        <w:t xml:space="preserve"> By </w:t>
      </w:r>
      <w:proofErr w:type="gramStart"/>
      <w:r w:rsidRPr="003E05FA">
        <w:rPr>
          <w:rFonts w:ascii="Calibri" w:hAnsi="Calibri" w:cs="Calibri"/>
          <w:sz w:val="22"/>
          <w:szCs w:val="22"/>
        </w:rPr>
        <w:t>entering into</w:t>
      </w:r>
      <w:proofErr w:type="gramEnd"/>
      <w:r w:rsidRPr="003E05FA">
        <w:rPr>
          <w:rFonts w:ascii="Calibri" w:hAnsi="Calibri" w:cs="Calibri"/>
          <w:sz w:val="22"/>
          <w:szCs w:val="22"/>
        </w:rPr>
        <w:t xml:space="preserve"> a forward contract, the firm locks in a fixed exchange rate for its future EUR receivables. This provides certainty in cash flows and shields against unfavourable currency moves. The trade-off is that if the EUR strengthens, the company cannot take advantage of the better </w:t>
      </w:r>
      <w:proofErr w:type="gramStart"/>
      <w:r w:rsidRPr="003E05FA">
        <w:rPr>
          <w:rFonts w:ascii="Calibri" w:hAnsi="Calibri" w:cs="Calibri"/>
          <w:sz w:val="22"/>
          <w:szCs w:val="22"/>
        </w:rPr>
        <w:t>rate</w:t>
      </w:r>
      <w:proofErr w:type="gramEnd"/>
      <w:r>
        <w:rPr>
          <w:rFonts w:ascii="Calibri" w:hAnsi="Calibri" w:cs="Calibri"/>
          <w:sz w:val="22"/>
          <w:szCs w:val="22"/>
        </w:rPr>
        <w:t xml:space="preserve"> and</w:t>
      </w:r>
      <w:r w:rsidRPr="003E05FA">
        <w:rPr>
          <w:rFonts w:ascii="Calibri" w:hAnsi="Calibri" w:cs="Calibri"/>
          <w:sz w:val="22"/>
          <w:szCs w:val="22"/>
        </w:rPr>
        <w:t xml:space="preserve"> it must still convert at the pre-agreed forward rate.</w:t>
      </w:r>
    </w:p>
    <w:p w14:paraId="4748F0C0" w14:textId="316BF3F8" w:rsidR="003E05FA" w:rsidRDefault="003E05FA" w:rsidP="002B5834">
      <w:pPr>
        <w:jc w:val="both"/>
        <w:rPr>
          <w:rFonts w:ascii="Calibri" w:hAnsi="Calibri" w:cs="Calibri"/>
          <w:sz w:val="22"/>
          <w:szCs w:val="22"/>
        </w:rPr>
      </w:pPr>
      <w:r w:rsidRPr="003E05FA">
        <w:rPr>
          <w:rFonts w:ascii="Calibri" w:hAnsi="Calibri" w:cs="Calibri"/>
          <w:b/>
          <w:bCs/>
          <w:sz w:val="22"/>
          <w:szCs w:val="22"/>
        </w:rPr>
        <w:t>Option Hedge:</w:t>
      </w:r>
      <w:r w:rsidRPr="003E05FA">
        <w:rPr>
          <w:rFonts w:ascii="Calibri" w:hAnsi="Calibri" w:cs="Calibri"/>
          <w:sz w:val="22"/>
          <w:szCs w:val="22"/>
        </w:rPr>
        <w:t xml:space="preserve"> Purchasing a EUR put option (EUR/USD) guarantees a minimum exchange rate at which the firm can convert, protecting against downside risk while keeping the upside open. If the market rate is more </w:t>
      </w:r>
      <w:proofErr w:type="spellStart"/>
      <w:r w:rsidRPr="003E05FA">
        <w:rPr>
          <w:rFonts w:ascii="Calibri" w:hAnsi="Calibri" w:cs="Calibri"/>
          <w:sz w:val="22"/>
          <w:szCs w:val="22"/>
        </w:rPr>
        <w:t>favorable</w:t>
      </w:r>
      <w:proofErr w:type="spellEnd"/>
      <w:r w:rsidRPr="003E05FA">
        <w:rPr>
          <w:rFonts w:ascii="Calibri" w:hAnsi="Calibri" w:cs="Calibri"/>
          <w:sz w:val="22"/>
          <w:szCs w:val="22"/>
        </w:rPr>
        <w:t>, the firm can ignore the option and transact at spot. The drawback is the upfront premium cost, making this a more flexible but expensive hedge compared to forwards</w:t>
      </w:r>
      <w:r>
        <w:rPr>
          <w:rFonts w:ascii="Calibri" w:hAnsi="Calibri" w:cs="Calibri"/>
          <w:sz w:val="22"/>
          <w:szCs w:val="22"/>
        </w:rPr>
        <w:t>.</w:t>
      </w:r>
    </w:p>
    <w:p w14:paraId="4FA1B5FE" w14:textId="77777777" w:rsidR="002B5834" w:rsidRPr="002B5834" w:rsidRDefault="002B5834" w:rsidP="002B5834">
      <w:pPr>
        <w:jc w:val="both"/>
        <w:rPr>
          <w:rFonts w:ascii="Calibri" w:hAnsi="Calibri" w:cs="Calibri"/>
          <w:b/>
          <w:bCs/>
          <w:sz w:val="22"/>
          <w:szCs w:val="22"/>
        </w:rPr>
      </w:pPr>
      <w:r w:rsidRPr="002B5834">
        <w:rPr>
          <w:rFonts w:ascii="Calibri" w:hAnsi="Calibri" w:cs="Calibri"/>
          <w:b/>
          <w:bCs/>
          <w:sz w:val="22"/>
          <w:szCs w:val="22"/>
        </w:rPr>
        <w:t>Simulation Setup</w:t>
      </w:r>
    </w:p>
    <w:p w14:paraId="0308EDAC" w14:textId="77F6F5AC" w:rsidR="004955B1" w:rsidRPr="004955B1" w:rsidRDefault="004955B1" w:rsidP="004955B1">
      <w:pPr>
        <w:jc w:val="both"/>
        <w:rPr>
          <w:rFonts w:ascii="Calibri" w:hAnsi="Calibri" w:cs="Calibri"/>
          <w:sz w:val="22"/>
          <w:szCs w:val="22"/>
        </w:rPr>
      </w:pPr>
      <w:r w:rsidRPr="004955B1">
        <w:rPr>
          <w:rFonts w:ascii="Calibri" w:hAnsi="Calibri" w:cs="Calibri"/>
          <w:sz w:val="22"/>
          <w:szCs w:val="22"/>
        </w:rPr>
        <w:t>To evaluate the three hedging strategies, we built a Monte Carlo simulation of EUR/USD over a 12-month horizon. The exchange rate is modelled as a Geometric Brownian Motion (GBM), calibrated to historical annual volatility of about 10%. Each month, the company receives a fixed €1,000,000, which is then converted to USD under the chosen strategy.</w:t>
      </w:r>
    </w:p>
    <w:p w14:paraId="08929031" w14:textId="77777777" w:rsidR="004955B1" w:rsidRPr="004955B1" w:rsidRDefault="004955B1" w:rsidP="004955B1">
      <w:pPr>
        <w:jc w:val="both"/>
        <w:rPr>
          <w:rFonts w:ascii="Calibri" w:hAnsi="Calibri" w:cs="Calibri"/>
          <w:sz w:val="22"/>
          <w:szCs w:val="22"/>
        </w:rPr>
      </w:pPr>
      <w:r w:rsidRPr="004955B1">
        <w:rPr>
          <w:rFonts w:ascii="Calibri" w:hAnsi="Calibri" w:cs="Calibri"/>
          <w:sz w:val="22"/>
          <w:szCs w:val="22"/>
        </w:rPr>
        <w:t xml:space="preserve">In the </w:t>
      </w:r>
      <w:r w:rsidRPr="004955B1">
        <w:rPr>
          <w:rFonts w:ascii="Calibri" w:hAnsi="Calibri" w:cs="Calibri"/>
          <w:b/>
          <w:bCs/>
          <w:sz w:val="22"/>
          <w:szCs w:val="22"/>
        </w:rPr>
        <w:t>unhedged case</w:t>
      </w:r>
      <w:r w:rsidRPr="004955B1">
        <w:rPr>
          <w:rFonts w:ascii="Calibri" w:hAnsi="Calibri" w:cs="Calibri"/>
          <w:sz w:val="22"/>
          <w:szCs w:val="22"/>
        </w:rPr>
        <w:t xml:space="preserve">, conversion happens directly at each month’s simulated spot rate. For the </w:t>
      </w:r>
      <w:r w:rsidRPr="004955B1">
        <w:rPr>
          <w:rFonts w:ascii="Calibri" w:hAnsi="Calibri" w:cs="Calibri"/>
          <w:b/>
          <w:bCs/>
          <w:sz w:val="22"/>
          <w:szCs w:val="22"/>
        </w:rPr>
        <w:t>forward hedge</w:t>
      </w:r>
      <w:r w:rsidRPr="004955B1">
        <w:rPr>
          <w:rFonts w:ascii="Calibri" w:hAnsi="Calibri" w:cs="Calibri"/>
          <w:sz w:val="22"/>
          <w:szCs w:val="22"/>
        </w:rPr>
        <w:t>, the company locks in the exchange rate at time 0, fixing the USD receipts for all months in advance (assuming the forward rate equals the initial spot for simplicity).</w:t>
      </w:r>
    </w:p>
    <w:p w14:paraId="79B25DD3" w14:textId="77777777" w:rsidR="004955B1" w:rsidRDefault="004955B1" w:rsidP="004955B1">
      <w:pPr>
        <w:jc w:val="both"/>
        <w:rPr>
          <w:rFonts w:ascii="Calibri" w:hAnsi="Calibri" w:cs="Calibri"/>
          <w:sz w:val="22"/>
          <w:szCs w:val="22"/>
        </w:rPr>
      </w:pPr>
      <w:r w:rsidRPr="004955B1">
        <w:rPr>
          <w:rFonts w:ascii="Calibri" w:hAnsi="Calibri" w:cs="Calibri"/>
          <w:sz w:val="22"/>
          <w:szCs w:val="22"/>
        </w:rPr>
        <w:t xml:space="preserve">For the </w:t>
      </w:r>
      <w:r w:rsidRPr="004955B1">
        <w:rPr>
          <w:rFonts w:ascii="Calibri" w:hAnsi="Calibri" w:cs="Calibri"/>
          <w:b/>
          <w:bCs/>
          <w:sz w:val="22"/>
          <w:szCs w:val="22"/>
        </w:rPr>
        <w:t>option hedge</w:t>
      </w:r>
      <w:r w:rsidRPr="004955B1">
        <w:rPr>
          <w:rFonts w:ascii="Calibri" w:hAnsi="Calibri" w:cs="Calibri"/>
          <w:sz w:val="22"/>
          <w:szCs w:val="22"/>
        </w:rPr>
        <w:t>, we assume the firm purchases 12 monthly European put options with strikes set at the initial spot. This ensures a minimum conversion rate each month: if spot falls below the strike, the option is exercised; otherwise, conversion happens at the higher spot. To focus on payoff distributions, option premiums are ignored. We run 10,000 trials to generate the distribution of annual USD receipts under each strategy.</w:t>
      </w:r>
    </w:p>
    <w:p w14:paraId="202E915F" w14:textId="0E9DAA61" w:rsidR="001E0CDA" w:rsidRPr="004955B1" w:rsidRDefault="001E0CDA" w:rsidP="004955B1">
      <w:pPr>
        <w:jc w:val="both"/>
        <w:rPr>
          <w:rFonts w:ascii="Calibri" w:hAnsi="Calibri" w:cs="Calibri"/>
          <w:sz w:val="22"/>
          <w:szCs w:val="22"/>
        </w:rPr>
      </w:pPr>
      <w:r>
        <w:rPr>
          <w:rFonts w:ascii="Calibri" w:hAnsi="Calibri" w:cs="Calibri"/>
          <w:sz w:val="22"/>
          <w:szCs w:val="22"/>
        </w:rPr>
        <w:t xml:space="preserve">A </w:t>
      </w:r>
      <w:r w:rsidRPr="001E0CDA">
        <w:rPr>
          <w:rFonts w:ascii="Calibri" w:hAnsi="Calibri" w:cs="Calibri"/>
          <w:sz w:val="22"/>
          <w:szCs w:val="22"/>
        </w:rPr>
        <w:t>Monte Carlo simulation of EUR/USD with 10 paths over 12 months, model</w:t>
      </w:r>
      <w:r>
        <w:rPr>
          <w:rFonts w:ascii="Calibri" w:hAnsi="Calibri" w:cs="Calibri"/>
          <w:sz w:val="22"/>
          <w:szCs w:val="22"/>
        </w:rPr>
        <w:t>l</w:t>
      </w:r>
      <w:r w:rsidRPr="001E0CDA">
        <w:rPr>
          <w:rFonts w:ascii="Calibri" w:hAnsi="Calibri" w:cs="Calibri"/>
          <w:sz w:val="22"/>
          <w:szCs w:val="22"/>
        </w:rPr>
        <w:t>ing €1M monthly receivables under three hedging strategies. The unhedged approach exposed the firm to high variability in USD inflows, while the forward hedge locked the rate at 1.1, eliminating volatility but forgoing upside. The option hedge, with a floor at 1.1, preserved gains when EUR/USD rose while protecting against downside, delivering higher expected receipts than the forward and lower risk than staying unhedged.</w:t>
      </w:r>
    </w:p>
    <w:p w14:paraId="0DC2BC69" w14:textId="77777777" w:rsidR="00113F66" w:rsidRPr="00113F66" w:rsidRDefault="00113F66" w:rsidP="00113F66">
      <w:pPr>
        <w:jc w:val="both"/>
        <w:rPr>
          <w:rFonts w:ascii="Calibri" w:hAnsi="Calibri" w:cs="Calibri"/>
          <w:b/>
          <w:bCs/>
          <w:sz w:val="22"/>
          <w:szCs w:val="22"/>
        </w:rPr>
      </w:pPr>
      <w:r w:rsidRPr="00113F66">
        <w:rPr>
          <w:rFonts w:ascii="Calibri" w:hAnsi="Calibri" w:cs="Calibri"/>
          <w:b/>
          <w:bCs/>
          <w:sz w:val="22"/>
          <w:szCs w:val="22"/>
        </w:rPr>
        <w:t>Distribution of Hedging Outcomes</w:t>
      </w:r>
    </w:p>
    <w:p w14:paraId="02C2B003" w14:textId="77777777" w:rsidR="00113F66" w:rsidRPr="00113F66" w:rsidRDefault="00113F66" w:rsidP="00113F66">
      <w:pPr>
        <w:jc w:val="both"/>
        <w:rPr>
          <w:rFonts w:ascii="Calibri" w:hAnsi="Calibri" w:cs="Calibri"/>
          <w:sz w:val="22"/>
          <w:szCs w:val="22"/>
        </w:rPr>
      </w:pPr>
      <w:r w:rsidRPr="00113F66">
        <w:rPr>
          <w:rFonts w:ascii="Calibri" w:hAnsi="Calibri" w:cs="Calibri"/>
          <w:sz w:val="22"/>
          <w:szCs w:val="22"/>
        </w:rPr>
        <w:t>The simulation compares three strategies for managing EUR receivables: unhedged, forward contracts, and options. Each approach delivers a very different distribution of USD cash flows over 12 months.</w:t>
      </w:r>
    </w:p>
    <w:p w14:paraId="173D22AB" w14:textId="7D0A95C2" w:rsidR="00113F66" w:rsidRPr="00113F66" w:rsidRDefault="00113F66" w:rsidP="00113F66">
      <w:pPr>
        <w:jc w:val="both"/>
        <w:rPr>
          <w:rFonts w:ascii="Calibri" w:hAnsi="Calibri" w:cs="Calibri"/>
          <w:b/>
          <w:bCs/>
          <w:sz w:val="22"/>
          <w:szCs w:val="22"/>
        </w:rPr>
      </w:pPr>
      <w:r w:rsidRPr="00113F66">
        <w:rPr>
          <w:rFonts w:ascii="Calibri" w:hAnsi="Calibri" w:cs="Calibri"/>
          <w:b/>
          <w:bCs/>
          <w:sz w:val="22"/>
          <w:szCs w:val="22"/>
        </w:rPr>
        <w:t>Unhedged Exposure</w:t>
      </w:r>
      <w:r>
        <w:rPr>
          <w:rFonts w:ascii="Calibri" w:hAnsi="Calibri" w:cs="Calibri"/>
          <w:b/>
          <w:bCs/>
          <w:sz w:val="22"/>
          <w:szCs w:val="22"/>
        </w:rPr>
        <w:t xml:space="preserve">: </w:t>
      </w:r>
      <w:r w:rsidRPr="00113F66">
        <w:rPr>
          <w:rFonts w:ascii="Calibri" w:hAnsi="Calibri" w:cs="Calibri"/>
          <w:sz w:val="22"/>
          <w:szCs w:val="22"/>
        </w:rPr>
        <w:t xml:space="preserve">Leaving the position unhedged produces highly variable outcomes. In our sample run, total USD receipts ranged from about </w:t>
      </w:r>
      <w:r w:rsidRPr="00113F66">
        <w:rPr>
          <w:rFonts w:ascii="Calibri" w:hAnsi="Calibri" w:cs="Calibri"/>
          <w:b/>
          <w:bCs/>
          <w:sz w:val="22"/>
          <w:szCs w:val="22"/>
        </w:rPr>
        <w:t>$11.9M to $14.6</w:t>
      </w:r>
      <w:r>
        <w:rPr>
          <w:rFonts w:ascii="Calibri" w:hAnsi="Calibri" w:cs="Calibri"/>
          <w:b/>
          <w:bCs/>
          <w:sz w:val="22"/>
          <w:szCs w:val="22"/>
        </w:rPr>
        <w:t>M</w:t>
      </w:r>
      <w:r w:rsidRPr="00113F66">
        <w:rPr>
          <w:rFonts w:ascii="Calibri" w:hAnsi="Calibri" w:cs="Calibri"/>
          <w:sz w:val="22"/>
          <w:szCs w:val="22"/>
        </w:rPr>
        <w:t>. This wide</w:t>
      </w:r>
      <w:r>
        <w:rPr>
          <w:rFonts w:ascii="Calibri" w:hAnsi="Calibri" w:cs="Calibri"/>
          <w:sz w:val="22"/>
          <w:szCs w:val="22"/>
        </w:rPr>
        <w:t>spread</w:t>
      </w:r>
      <w:r w:rsidRPr="00113F66">
        <w:rPr>
          <w:rFonts w:ascii="Calibri" w:hAnsi="Calibri" w:cs="Calibri"/>
          <w:sz w:val="22"/>
          <w:szCs w:val="22"/>
        </w:rPr>
        <w:t xml:space="preserve"> reflects full exposure to exchange rate swings, offering upside when the euro strengthens but exposing the firm to downside risk if it weakens.</w:t>
      </w:r>
    </w:p>
    <w:p w14:paraId="663C589F" w14:textId="37CADCCC" w:rsidR="00113F66" w:rsidRPr="00113F66" w:rsidRDefault="00113F66" w:rsidP="00113F66">
      <w:pPr>
        <w:jc w:val="both"/>
        <w:rPr>
          <w:rFonts w:ascii="Calibri" w:hAnsi="Calibri" w:cs="Calibri"/>
          <w:sz w:val="22"/>
          <w:szCs w:val="22"/>
        </w:rPr>
      </w:pPr>
      <w:r w:rsidRPr="00113F66">
        <w:rPr>
          <w:rFonts w:ascii="Calibri" w:hAnsi="Calibri" w:cs="Calibri"/>
          <w:b/>
          <w:bCs/>
          <w:sz w:val="22"/>
          <w:szCs w:val="22"/>
        </w:rPr>
        <w:t>Forward Hedge</w:t>
      </w:r>
      <w:r>
        <w:rPr>
          <w:rFonts w:ascii="Calibri" w:hAnsi="Calibri" w:cs="Calibri"/>
          <w:b/>
          <w:bCs/>
          <w:sz w:val="22"/>
          <w:szCs w:val="22"/>
        </w:rPr>
        <w:t xml:space="preserve">: </w:t>
      </w:r>
      <w:r w:rsidRPr="00113F66">
        <w:rPr>
          <w:rFonts w:ascii="Calibri" w:hAnsi="Calibri" w:cs="Calibri"/>
          <w:sz w:val="22"/>
          <w:szCs w:val="22"/>
        </w:rPr>
        <w:t xml:space="preserve">By contrast, the forward hedge locks in a fixed exchange rate upfront. In this case, total receipts were approximately $13.2M, with essentially no variance. The trade-off is certainty versus opportunity: </w:t>
      </w:r>
      <w:proofErr w:type="spellStart"/>
      <w:r w:rsidRPr="00113F66">
        <w:rPr>
          <w:rFonts w:ascii="Calibri" w:hAnsi="Calibri" w:cs="Calibri"/>
          <w:sz w:val="22"/>
          <w:szCs w:val="22"/>
        </w:rPr>
        <w:t>favorable</w:t>
      </w:r>
      <w:proofErr w:type="spellEnd"/>
      <w:r w:rsidRPr="00113F66">
        <w:rPr>
          <w:rFonts w:ascii="Calibri" w:hAnsi="Calibri" w:cs="Calibri"/>
          <w:sz w:val="22"/>
          <w:szCs w:val="22"/>
        </w:rPr>
        <w:t xml:space="preserve"> FX moves no longer benefit the firm, but downside risk is </w:t>
      </w:r>
      <w:proofErr w:type="gramStart"/>
      <w:r w:rsidRPr="00113F66">
        <w:rPr>
          <w:rFonts w:ascii="Calibri" w:hAnsi="Calibri" w:cs="Calibri"/>
          <w:sz w:val="22"/>
          <w:szCs w:val="22"/>
        </w:rPr>
        <w:t>completely eliminated</w:t>
      </w:r>
      <w:proofErr w:type="gramEnd"/>
      <w:r w:rsidRPr="00113F66">
        <w:rPr>
          <w:rFonts w:ascii="Calibri" w:hAnsi="Calibri" w:cs="Calibri"/>
          <w:sz w:val="22"/>
          <w:szCs w:val="22"/>
        </w:rPr>
        <w:t>.</w:t>
      </w:r>
    </w:p>
    <w:p w14:paraId="64864AB8" w14:textId="6A86B2FB" w:rsidR="00113F66" w:rsidRPr="00113F66" w:rsidRDefault="00113F66" w:rsidP="00113F66">
      <w:pPr>
        <w:jc w:val="both"/>
        <w:rPr>
          <w:rFonts w:ascii="Calibri" w:hAnsi="Calibri" w:cs="Calibri"/>
          <w:sz w:val="22"/>
          <w:szCs w:val="22"/>
        </w:rPr>
      </w:pPr>
      <w:r w:rsidRPr="00113F66">
        <w:rPr>
          <w:rFonts w:ascii="Calibri" w:hAnsi="Calibri" w:cs="Calibri"/>
          <w:b/>
          <w:bCs/>
          <w:sz w:val="22"/>
          <w:szCs w:val="22"/>
        </w:rPr>
        <w:lastRenderedPageBreak/>
        <w:t>Option Hedge</w:t>
      </w:r>
      <w:r>
        <w:rPr>
          <w:rFonts w:ascii="Calibri" w:hAnsi="Calibri" w:cs="Calibri"/>
          <w:b/>
          <w:bCs/>
          <w:sz w:val="22"/>
          <w:szCs w:val="22"/>
        </w:rPr>
        <w:t xml:space="preserve">: </w:t>
      </w:r>
      <w:r w:rsidRPr="00113F66">
        <w:rPr>
          <w:rFonts w:ascii="Calibri" w:hAnsi="Calibri" w:cs="Calibri"/>
          <w:sz w:val="22"/>
          <w:szCs w:val="22"/>
        </w:rPr>
        <w:t>The option hedge delivers a hybrid outcome. The strategy ensures no scenario falls below the forward-fixed $13.2M floor, while still allowing gains if the euro appreciates. As a result, the distribution is truncated on the downside and spread upward on the upside. In our example, the option hedge generated a slightly higher average receipt than the forward, although in practice the benefit would be reduced by the premium paid.</w:t>
      </w:r>
    </w:p>
    <w:p w14:paraId="418B9A43" w14:textId="23988EDF" w:rsidR="00113F66" w:rsidRPr="00113F66" w:rsidRDefault="00113F66" w:rsidP="00113F66">
      <w:pPr>
        <w:jc w:val="both"/>
        <w:rPr>
          <w:rFonts w:ascii="Calibri" w:hAnsi="Calibri" w:cs="Calibri"/>
          <w:sz w:val="22"/>
          <w:szCs w:val="22"/>
        </w:rPr>
      </w:pPr>
      <w:r w:rsidRPr="00113F66">
        <w:rPr>
          <w:rFonts w:ascii="Calibri" w:hAnsi="Calibri" w:cs="Calibri"/>
          <w:b/>
          <w:bCs/>
          <w:sz w:val="22"/>
          <w:szCs w:val="22"/>
        </w:rPr>
        <w:t>Risk–Reward Trade-off</w:t>
      </w:r>
      <w:r>
        <w:rPr>
          <w:rFonts w:ascii="Calibri" w:hAnsi="Calibri" w:cs="Calibri"/>
          <w:b/>
          <w:bCs/>
          <w:sz w:val="22"/>
          <w:szCs w:val="22"/>
        </w:rPr>
        <w:t xml:space="preserve">: </w:t>
      </w:r>
      <w:r w:rsidRPr="00113F66">
        <w:rPr>
          <w:rFonts w:ascii="Calibri" w:hAnsi="Calibri" w:cs="Calibri"/>
          <w:sz w:val="22"/>
          <w:szCs w:val="22"/>
        </w:rPr>
        <w:t>Overall, both forward and option hedges substantially reduce cash-flow volatility relative to the unhedged position. The choice comes down to priorities: maximum certainty (forward), or protection with upside potential (option).</w:t>
      </w:r>
    </w:p>
    <w:p w14:paraId="23A9DD60" w14:textId="77777777" w:rsidR="00113F66" w:rsidRPr="00113F66" w:rsidRDefault="00113F66" w:rsidP="00113F66">
      <w:pPr>
        <w:jc w:val="both"/>
        <w:rPr>
          <w:rFonts w:ascii="Calibri" w:hAnsi="Calibri" w:cs="Calibri"/>
          <w:b/>
          <w:bCs/>
          <w:sz w:val="22"/>
          <w:szCs w:val="22"/>
        </w:rPr>
      </w:pPr>
      <w:r w:rsidRPr="00113F66">
        <w:rPr>
          <w:rFonts w:ascii="Calibri" w:hAnsi="Calibri" w:cs="Calibri"/>
          <w:b/>
          <w:bCs/>
          <w:sz w:val="22"/>
          <w:szCs w:val="22"/>
        </w:rPr>
        <w:t>Stretch Goal – Optimal Hedge Ratio</w:t>
      </w:r>
    </w:p>
    <w:p w14:paraId="3CE7D2E3" w14:textId="24922097" w:rsidR="00113F66" w:rsidRPr="00113F66" w:rsidRDefault="00113F66" w:rsidP="00113F66">
      <w:pPr>
        <w:jc w:val="both"/>
        <w:rPr>
          <w:rFonts w:ascii="Calibri" w:hAnsi="Calibri" w:cs="Calibri"/>
          <w:sz w:val="22"/>
          <w:szCs w:val="22"/>
        </w:rPr>
      </w:pPr>
      <w:r w:rsidRPr="00113F66">
        <w:rPr>
          <w:rFonts w:ascii="Calibri" w:hAnsi="Calibri" w:cs="Calibri"/>
          <w:sz w:val="22"/>
          <w:szCs w:val="22"/>
        </w:rPr>
        <w:t>In practice, firms may choose to hedge only part of their exposure. The optimal hedge ratio which is the fraction of the position to hedge</w:t>
      </w:r>
      <w:r>
        <w:rPr>
          <w:rFonts w:ascii="Calibri" w:hAnsi="Calibri" w:cs="Calibri"/>
          <w:sz w:val="22"/>
          <w:szCs w:val="22"/>
        </w:rPr>
        <w:t xml:space="preserve"> </w:t>
      </w:r>
      <w:r w:rsidRPr="00113F66">
        <w:rPr>
          <w:rFonts w:ascii="Calibri" w:hAnsi="Calibri" w:cs="Calibri"/>
          <w:sz w:val="22"/>
          <w:szCs w:val="22"/>
        </w:rPr>
        <w:t>can be determined by variance minimization. For a perfect, costless forward, a 100% hedge minimizes varianc</w:t>
      </w:r>
      <w:r>
        <w:rPr>
          <w:rFonts w:ascii="Calibri" w:hAnsi="Calibri" w:cs="Calibri"/>
          <w:sz w:val="22"/>
          <w:szCs w:val="22"/>
        </w:rPr>
        <w:t>e</w:t>
      </w:r>
      <w:r w:rsidRPr="00113F66">
        <w:rPr>
          <w:rFonts w:ascii="Calibri" w:hAnsi="Calibri" w:cs="Calibri"/>
          <w:sz w:val="22"/>
          <w:szCs w:val="22"/>
        </w:rPr>
        <w:t>. With costly or imperfect hedges, the optimal ratio may be lower, balancing risk reduction against expense.</w:t>
      </w:r>
    </w:p>
    <w:p w14:paraId="7A85A586" w14:textId="622D976F" w:rsidR="00222AC7" w:rsidRPr="00113F66" w:rsidRDefault="00113F66" w:rsidP="002B5834">
      <w:pPr>
        <w:jc w:val="both"/>
        <w:rPr>
          <w:rFonts w:ascii="Calibri" w:hAnsi="Calibri" w:cs="Calibri"/>
          <w:sz w:val="22"/>
          <w:szCs w:val="22"/>
        </w:rPr>
      </w:pPr>
      <w:r w:rsidRPr="00113F66">
        <w:rPr>
          <w:rFonts w:ascii="Calibri" w:hAnsi="Calibri" w:cs="Calibri"/>
          <w:sz w:val="22"/>
          <w:szCs w:val="22"/>
        </w:rPr>
        <w:t xml:space="preserve">Beyond </w:t>
      </w:r>
      <w:r>
        <w:rPr>
          <w:rFonts w:ascii="Calibri" w:hAnsi="Calibri" w:cs="Calibri"/>
          <w:sz w:val="22"/>
          <w:szCs w:val="22"/>
        </w:rPr>
        <w:t xml:space="preserve">this, </w:t>
      </w:r>
      <w:r w:rsidRPr="00113F66">
        <w:rPr>
          <w:rFonts w:ascii="Calibri" w:hAnsi="Calibri" w:cs="Calibri"/>
          <w:sz w:val="22"/>
          <w:szCs w:val="22"/>
        </w:rPr>
        <w:t>qualitative factors and macroeconomic outlooks also play a role. Management may adjust hedge levels based on expectations for interest rate shifts, inflation trajectories, or central bank policy. Similarly, geopolitical events, trade balances, or structural shifts in the eurozone or U.S. economy could affect the USD/EUR exchange rate. Firms often weigh these forward-looking judgments alongside statistical optimization, tailoring hedge ratios not just to minimize variance but to align with their strategic view of future currency movements and risk appetite</w:t>
      </w:r>
      <w:r>
        <w:rPr>
          <w:rFonts w:ascii="Calibri" w:hAnsi="Calibri" w:cs="Calibri"/>
          <w:sz w:val="22"/>
          <w:szCs w:val="22"/>
        </w:rPr>
        <w:t xml:space="preserve"> of the business</w:t>
      </w:r>
      <w:r w:rsidRPr="00113F66">
        <w:rPr>
          <w:rFonts w:ascii="Calibri" w:hAnsi="Calibri" w:cs="Calibri"/>
          <w:sz w:val="22"/>
          <w:szCs w:val="22"/>
        </w:rPr>
        <w:t>.</w:t>
      </w:r>
    </w:p>
    <w:sectPr w:rsidR="00222AC7" w:rsidRPr="00113F66" w:rsidSect="002B58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AC7"/>
    <w:rsid w:val="00113F66"/>
    <w:rsid w:val="001E0CDA"/>
    <w:rsid w:val="00222AC7"/>
    <w:rsid w:val="002B5834"/>
    <w:rsid w:val="003E05FA"/>
    <w:rsid w:val="004955B1"/>
    <w:rsid w:val="006568F1"/>
    <w:rsid w:val="00D25565"/>
    <w:rsid w:val="00E460B9"/>
    <w:rsid w:val="00E545E4"/>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0FEBB"/>
  <w15:chartTrackingRefBased/>
  <w15:docId w15:val="{455A3E60-2349-4ED9-8EB9-1051A0289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AC7"/>
    <w:rPr>
      <w:rFonts w:eastAsiaTheme="majorEastAsia" w:cstheme="majorBidi"/>
      <w:color w:val="272727" w:themeColor="text1" w:themeTint="D8"/>
    </w:rPr>
  </w:style>
  <w:style w:type="paragraph" w:styleId="Title">
    <w:name w:val="Title"/>
    <w:basedOn w:val="Normal"/>
    <w:next w:val="Normal"/>
    <w:link w:val="TitleChar"/>
    <w:uiPriority w:val="10"/>
    <w:qFormat/>
    <w:rsid w:val="00222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AC7"/>
    <w:pPr>
      <w:spacing w:before="160"/>
      <w:jc w:val="center"/>
    </w:pPr>
    <w:rPr>
      <w:i/>
      <w:iCs/>
      <w:color w:val="404040" w:themeColor="text1" w:themeTint="BF"/>
    </w:rPr>
  </w:style>
  <w:style w:type="character" w:customStyle="1" w:styleId="QuoteChar">
    <w:name w:val="Quote Char"/>
    <w:basedOn w:val="DefaultParagraphFont"/>
    <w:link w:val="Quote"/>
    <w:uiPriority w:val="29"/>
    <w:rsid w:val="00222AC7"/>
    <w:rPr>
      <w:i/>
      <w:iCs/>
      <w:color w:val="404040" w:themeColor="text1" w:themeTint="BF"/>
    </w:rPr>
  </w:style>
  <w:style w:type="paragraph" w:styleId="ListParagraph">
    <w:name w:val="List Paragraph"/>
    <w:basedOn w:val="Normal"/>
    <w:uiPriority w:val="34"/>
    <w:qFormat/>
    <w:rsid w:val="00222AC7"/>
    <w:pPr>
      <w:ind w:left="720"/>
      <w:contextualSpacing/>
    </w:pPr>
  </w:style>
  <w:style w:type="character" w:styleId="IntenseEmphasis">
    <w:name w:val="Intense Emphasis"/>
    <w:basedOn w:val="DefaultParagraphFont"/>
    <w:uiPriority w:val="21"/>
    <w:qFormat/>
    <w:rsid w:val="00222AC7"/>
    <w:rPr>
      <w:i/>
      <w:iCs/>
      <w:color w:val="0F4761" w:themeColor="accent1" w:themeShade="BF"/>
    </w:rPr>
  </w:style>
  <w:style w:type="paragraph" w:styleId="IntenseQuote">
    <w:name w:val="Intense Quote"/>
    <w:basedOn w:val="Normal"/>
    <w:next w:val="Normal"/>
    <w:link w:val="IntenseQuoteChar"/>
    <w:uiPriority w:val="30"/>
    <w:qFormat/>
    <w:rsid w:val="00222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AC7"/>
    <w:rPr>
      <w:i/>
      <w:iCs/>
      <w:color w:val="0F4761" w:themeColor="accent1" w:themeShade="BF"/>
    </w:rPr>
  </w:style>
  <w:style w:type="character" w:styleId="IntenseReference">
    <w:name w:val="Intense Reference"/>
    <w:basedOn w:val="DefaultParagraphFont"/>
    <w:uiPriority w:val="32"/>
    <w:qFormat/>
    <w:rsid w:val="00222AC7"/>
    <w:rPr>
      <w:b/>
      <w:bCs/>
      <w:smallCaps/>
      <w:color w:val="0F4761" w:themeColor="accent1" w:themeShade="BF"/>
      <w:spacing w:val="5"/>
    </w:rPr>
  </w:style>
  <w:style w:type="character" w:styleId="Hyperlink">
    <w:name w:val="Hyperlink"/>
    <w:basedOn w:val="DefaultParagraphFont"/>
    <w:uiPriority w:val="99"/>
    <w:unhideWhenUsed/>
    <w:rsid w:val="002B5834"/>
    <w:rPr>
      <w:color w:val="467886" w:themeColor="hyperlink"/>
      <w:u w:val="single"/>
    </w:rPr>
  </w:style>
  <w:style w:type="character" w:styleId="UnresolvedMention">
    <w:name w:val="Unresolved Mention"/>
    <w:basedOn w:val="DefaultParagraphFont"/>
    <w:uiPriority w:val="99"/>
    <w:semiHidden/>
    <w:unhideWhenUsed/>
    <w:rsid w:val="002B5834"/>
    <w:rPr>
      <w:color w:val="605E5C"/>
      <w:shd w:val="clear" w:color="auto" w:fill="E1DFDD"/>
    </w:rPr>
  </w:style>
  <w:style w:type="character" w:styleId="FollowedHyperlink">
    <w:name w:val="FollowedHyperlink"/>
    <w:basedOn w:val="DefaultParagraphFont"/>
    <w:uiPriority w:val="99"/>
    <w:semiHidden/>
    <w:unhideWhenUsed/>
    <w:rsid w:val="002B58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Depak Subramaniyan</dc:creator>
  <cp:keywords/>
  <dc:description/>
  <cp:lastModifiedBy>Depak Subramaniyan</cp:lastModifiedBy>
  <cp:revision>9</cp:revision>
  <dcterms:created xsi:type="dcterms:W3CDTF">2025-10-02T18:23:00Z</dcterms:created>
  <dcterms:modified xsi:type="dcterms:W3CDTF">2025-10-02T20:57:00Z</dcterms:modified>
</cp:coreProperties>
</file>