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DCU - Gerar relatório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Data da criação</w:t>
      </w:r>
      <w:r w:rsidDel="00000000" w:rsidR="00000000" w:rsidRPr="00000000">
        <w:rPr>
          <w:rtl w:val="0"/>
        </w:rPr>
        <w:t xml:space="preserve">: 09/05/2019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Responsável</w:t>
      </w:r>
      <w:r w:rsidDel="00000000" w:rsidR="00000000" w:rsidRPr="00000000">
        <w:rPr>
          <w:rtl w:val="0"/>
        </w:rPr>
        <w:t xml:space="preserve">: Responsável do setor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ps944rsys81z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Diagrama do caso de uso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26720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rPr>
          <w:b w:val="1"/>
          <w:color w:val="000000"/>
          <w:sz w:val="22"/>
          <w:szCs w:val="22"/>
        </w:rPr>
      </w:pPr>
      <w:bookmarkStart w:colFirst="0" w:colLast="0" w:name="_h6m5naz8y7yb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Descrição do caso de uso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  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Gerar relatório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Ator:         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Responsável do Setor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Descrição:  </w:t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caso de uso permite o ator Responsável do Setor gerar um relatório.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Responsável deve receber uma ocorrência ou encaminhamento.</w:t>
            </w:r>
          </w:p>
        </w:tc>
      </w:tr>
      <w:t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Pós-condição: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As pessoas envolvidas irão ter acesso ao relatório no e-mail.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RF: </w:t>
            </w:r>
            <w:r w:rsidDel="00000000" w:rsidR="00000000" w:rsidRPr="00000000">
              <w:rPr>
                <w:rtl w:val="0"/>
              </w:rPr>
              <w:t xml:space="preserve">RF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RNF: </w:t>
            </w:r>
            <w:r w:rsidDel="00000000" w:rsidR="00000000" w:rsidRPr="00000000">
              <w:rPr>
                <w:rtl w:val="0"/>
              </w:rPr>
              <w:t xml:space="preserve">não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Fluxo de eventos: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O caso de uso começa quando o Responsável do Setor seleciona na página a opção gerar relatório.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b w:val="1"/>
          <w:color w:val="000000"/>
        </w:rPr>
      </w:pPr>
      <w:bookmarkStart w:colFirst="0" w:colLast="0" w:name="_nexk508xw7y4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Fluxo básico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Responsável do Setor recebe um encaminhamento ou ocorrência.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Visualiza.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rPr/>
            </w:pPr>
            <w:r w:rsidDel="00000000" w:rsidR="00000000" w:rsidRPr="00000000">
              <w:rPr>
                <w:rtl w:val="0"/>
              </w:rPr>
              <w:t xml:space="preserve">Informa a providência tomada.</w:t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0"/>
                <w:numId w:val="1"/>
              </w:numPr>
              <w:spacing w:line="240" w:lineRule="auto"/>
              <w:ind w:left="425.19685039370086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Gera o relatório e encerra o caso de uso.</w:t>
            </w:r>
          </w:p>
        </w:tc>
      </w:tr>
    </w:tbl>
    <w:p w:rsidR="00000000" w:rsidDel="00000000" w:rsidP="00000000" w:rsidRDefault="00000000" w:rsidRPr="00000000" w14:paraId="00000028">
      <w:pPr>
        <w:pStyle w:val="Heading3"/>
        <w:rPr>
          <w:color w:val="000000"/>
        </w:rPr>
      </w:pPr>
      <w:bookmarkStart w:colFirst="0" w:colLast="0" w:name="_mtj5gt40glyq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.20472440944882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89.975395892884"/>
        <w:gridCol w:w="4673.566806376375"/>
        <w:gridCol w:w="3065.457797730741"/>
        <w:tblGridChange w:id="0">
          <w:tblGrid>
            <w:gridCol w:w="1289.975395892884"/>
            <w:gridCol w:w="4673.566806376375"/>
            <w:gridCol w:w="3065.457797730741"/>
          </w:tblGrid>
        </w:tblGridChange>
      </w:tblGrid>
      <w:t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Relacionamentos: </w:t>
            </w:r>
          </w:p>
        </w:tc>
      </w:tr>
      <w:tr>
        <w:tc>
          <w:tcPr>
            <w:gridSpan w:val="3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.20472440944882" w:type="dxa"/>
              <w:left w:w="10.20472440944882" w:type="dxa"/>
              <w:bottom w:w="10.20472440944882" w:type="dxa"/>
              <w:right w:w="10.20472440944882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Não existem relacionamentos associados a este caso de uso</w:t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jc w:val="center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  <w:t xml:space="preserve">IFMS - 2019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right"/>
      <w:rPr/>
    </w:pPr>
    <w:r w:rsidDel="00000000" w:rsidR="00000000" w:rsidRPr="00000000">
      <w:rPr>
        <w:rtl w:val="0"/>
      </w:rPr>
      <w:t xml:space="preserve">PP-BEDEL                                                                                                                              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