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&lt;&lt; extend&gt;&gt; Responder ocorrência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10/05/2019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Responsável do Setor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5.4577977307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4170"/>
        <w:gridCol w:w="3065.457797730741"/>
        <w:tblGridChange w:id="0">
          <w:tblGrid>
            <w:gridCol w:w="1800"/>
            <w:gridCol w:w="4170"/>
            <w:gridCol w:w="3065.45779773074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Responder ocorrência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do Setor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Responsável do Setor responder um encaminhamento ou ocorrência.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Responsável do Setor deve obter uma ocorrência ou encaminhamento.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as devidas providências.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Responsável do Setor está visualizando uma ocorrência ou encaminhamento e decide responder. por meio de uma providência.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Responsável do Setor deseja responder uma ocorrência.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as informações solicitadas no formulário.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 o relatório.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emite uma mensagem informando que o componente de referência foi registrado.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tj5gt40glyq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PP - BEDEL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