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Visualizar ocorrência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09/05/2019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Responsável do Setor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Visualizar ocorrência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do Setor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Responsável do Setor visualizar uma ocorrência ou encaminhamento.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Responsável do Setor deve obter uma ocorrência.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ator poderá enviar uma resposta aos envolvidos na ocorrência.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Responsável do Setor seleciona a opção Visualizar ocorrência.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Responsável do Setor recebe uma ocorrência ou encaminhamento.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Seleciona a opção de visualizar ocorrência.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redireciona para a página de Visualização, onde tem a opção de responder a ocorrência.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pode responder a ocorrência.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Encerra o caso de uso.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color w:val="000000"/>
        </w:rPr>
      </w:pPr>
      <w:bookmarkStart w:colFirst="0" w:colLast="0" w:name="_mtj5gt40gly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Fluxos alternativos e de exceção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975395892884"/>
        <w:gridCol w:w="4673.566806376375"/>
        <w:gridCol w:w="3065.457797730741"/>
        <w:tblGridChange w:id="0">
          <w:tblGrid>
            <w:gridCol w:w="1289.975395892884"/>
            <w:gridCol w:w="4673.566806376375"/>
            <w:gridCol w:w="3065.457797730741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  <w:t xml:space="preserve">O Administrador escolhe a opção sair.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i. O sistema encerra o caso de uso.</w:t>
            </w:r>
          </w:p>
        </w:tc>
      </w:tr>
      <w:tr>
        <w:tc>
          <w:tcPr>
            <w:gridSpan w:val="3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Relacionamentos: 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existem relacionamentos associados a este caso de uso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  <w:t xml:space="preserve">PP-BEDEL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