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ALUNO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id_aluno INTEGER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nome_aluno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email_aluno VARCHAR(70),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turma_aluno CHAR(02),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curso_aluno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ra_aluno VARCHAR(10)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OCORRÊNCIA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desc_ocorrencia VARCHAR(500),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id_ocorrencia INTEGER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id_aluno INTEGER,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id_assistente INTEGER,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FOREIGN KEY(id_aluno) REFERENCES ALUNO (id_aluno)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ASSISTENTE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id_assistente INTEGER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nome_assistente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datanasc_assistente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siape_assistente VARCHAR(07),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telefone_assistente VARCHAR(15),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email_assistente VARCHAR(70),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cpf_assistente CHAR(11),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senha_assistente CHAR(10)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RESPONSAVÉL DO SETOR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email_responsavelsetor VARCHAR(70),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senha_responsavelsetor CHAR(10),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cpf_responsavelsetor CHAR(11),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siape_responsavelsetor VARCHAR(07),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id_responsavelsetor INTEGER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nome_responsavelsetor VARCHAR(100),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telefone_responsavelsetor VARCHAR(15)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PROVIDÊNCIA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desc_providencia VARCHAR(500),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id_providencia INTEGER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relatorio_providencia INTEGER,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id_ocorrencia INTEGER,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id_responsavelsetor INTEGER,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FOREIGN KEY(id_ocorrencia) REFERENCES OCORRÊNCIA (id_ocorrencia),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KEY(id_responsavelsetor) REFERENCES RESPONSAVÉL DO SETOR (id_responsavelsetor)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OCORRÊNCIA ADD FOREIGN KEY(id_assistente) REFERENCES ASSISTENTE (id_assistente)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