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720"/>
        <w:jc w:val="center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INSTITUTO FEDERAL DE MATO GROSSO DO SUL</w:t>
      </w:r>
    </w:p>
    <w:p>
      <w:pPr>
        <w:spacing w:after="120" w:before="0"/>
        <w:jc w:val="center"/>
      </w:pPr>
      <w:r>
        <w:rPr>
          <w:rFonts w:ascii="Arial" w:cs="Arial" w:eastAsia="Arial" w:hAnsi="Arial"/>
          <w:b w:val="false"/>
          <w:bCs w:val="false"/>
          <w:color w:val="1F4E79"/>
          <w:sz w:val="24"/>
          <w:szCs w:val="24"/>
        </w:rPr>
        <w:t xml:space="preserve">Campus Dourados</w:t>
      </w:r>
    </w:p>
    <w:p>
      <w:pPr>
        <w:spacing w:after="60" w:before="0"/>
        <w:jc w:val="center"/>
      </w:pPr>
      <w:r>
        <w:rPr>
          <w:rFonts w:ascii="Arial" w:cs="Arial" w:eastAsia="Arial" w:hAnsi="Arial"/>
          <w:sz w:val="22"/>
          <w:szCs w:val="22"/>
        </w:rPr>
        <w:t xml:space="preserve">Curso Superior de Tecnologia em Jogos Digitais</w:t>
      </w:r>
    </w:p>
    <w:p>
      <w:pPr>
        <w:spacing w:after="60" w:before="60"/>
      </w:pPr>
      <w:r>
        <w:t xml:space="preserve"/>
      </w:r>
    </w:p>
    <w:p>
      <w:pPr>
        <w:spacing w:after="60" w:before="240"/>
        <w:jc w:val="center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PLANO DE ENSINO</w:t>
      </w:r>
    </w:p>
    <w:p>
      <w:pPr>
        <w:spacing w:after="480" w:before="0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Disciplina: Texturização</w:t>
      </w:r>
    </w:p>
    <w:p>
      <w:pPr>
        <w:pStyle w:val="Heading1"/>
        <w:pBdr>
          <w:bottom w:val="single" w:color="1F4E79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1. Identificação da Disciplina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Instituição</w:t>
            </w:r>
          </w:p>
        </w:tc>
        <w:tc>
          <w:tcPr>
            <w:tcW w:type="dxa" w:w="6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Instituto Federal de Mato Grosso do Sul – Campus Dourados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Curso</w:t>
            </w:r>
          </w:p>
        </w:tc>
        <w:tc>
          <w:tcPr>
            <w:tcW w:type="dxa" w:w="6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Tecnologia em Jogos Digitais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Disciplina</w:t>
            </w:r>
          </w:p>
        </w:tc>
        <w:tc>
          <w:tcPr>
            <w:tcW w:type="dxa" w:w="6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Texturização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Carga Horária</w:t>
            </w:r>
          </w:p>
        </w:tc>
        <w:tc>
          <w:tcPr>
            <w:tcW w:type="dxa" w:w="6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51 horas (17 semanas × 3 horas semanais)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Período</w:t>
            </w:r>
          </w:p>
        </w:tc>
        <w:tc>
          <w:tcPr>
            <w:tcW w:type="dxa" w:w="6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2º Semestre de 2026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Professor</w:t>
            </w:r>
          </w:p>
        </w:tc>
        <w:tc>
          <w:tcPr>
            <w:tcW w:type="dxa" w:w="6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Rodrigo Devigo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Encontros</w:t>
            </w:r>
          </w:p>
        </w:tc>
        <w:tc>
          <w:tcPr>
            <w:tcW w:type="dxa" w:w="6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2 encontros semanais de 1h30 cada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Metodologia</w:t>
            </w:r>
          </w:p>
        </w:tc>
        <w:tc>
          <w:tcPr>
            <w:tcW w:type="dxa" w:w="6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Studio-Based Learning (SBL)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1"/>
        <w:pBdr>
          <w:bottom w:val="single" w:color="1F4E79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2. Ementa</w:t>
      </w:r>
    </w:p>
    <w:p>
      <w:pPr>
        <w:spacing w:after="8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Definição de material e textura em computação gráfica. Projeção de textura e mapa de UV. Prática de abertura de malha e mapeamento UV. Utilização de texturas realistas (PBR). Texturas seamless. Mapeamentos de imagem para a criação de materiais utilizando PBR: metallic, roughness, diffuse, normal e subsurface. Workflow de criação para materiais. Geração procedural de elementos em texturas. Texturização artística por meio de pintura digital. Uso de stencil em texturização. Bake de texturas. Texture atlas, trim sheets e otimização. Uso de UDIMs/Multi tile texture/texture array e otimização. Otimização de desempenho em texturas: tamanho de textura, compressão de texturas, mipmaps e junção de mapas em única textura utilizando diferentes canais. Abertura de malha para mapa de iluminação para motores de jogo. Renderização de modelos texturizados.</w:t>
      </w:r>
    </w:p>
    <w:p>
      <w:pPr>
        <w:spacing w:after="60" w:before="60"/>
      </w:pPr>
      <w:r>
        <w:t xml:space="preserve"/>
      </w:r>
    </w:p>
    <w:p>
      <w:pPr>
        <w:pStyle w:val="Heading1"/>
        <w:pBdr>
          <w:bottom w:val="single" w:color="1F4E79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3. Objetivo Geral</w:t>
      </w:r>
    </w:p>
    <w:p>
      <w:pPr>
        <w:spacing w:after="8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Capacitar o estudante a desenvolver fluxos de trabalho de texturização para jogos digitais, dominando desde o mapeamento UV e a criação de materiais PBR até a otimização de texturas para motores de jogo, por meio da produção contínua de artefatos integrados a um projeto semestral de Kit Modular de Ambiente.</w:t>
      </w:r>
    </w:p>
    <w:p>
      <w:pPr>
        <w:spacing w:after="60" w:before="60"/>
      </w:pPr>
      <w:r>
        <w:t xml:space="preserve"/>
      </w:r>
    </w:p>
    <w:p>
      <w:pPr>
        <w:pStyle w:val="Heading1"/>
        <w:pBdr>
          <w:bottom w:val="single" w:color="1F4E79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4. Objetivos Específicos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Compreender os fundamentos de materiais e texturas em computação gráfica e renderização em tempo real.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Realizar abertura de malha e mapeamento UV eficiente no Blender, minimizando distorção e maximizando o aproveitamento do texel.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Criar materiais fisicamente plausíveis utilizando o workflow PBR (metallic/roughness) com mapas de diffuse, metallic, roughness, normal e subsurface.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Produzir texturas artísticas por meio de pintura digital e uso de stencils no 3D Coat.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Executar bake de mapas de iluminação, normal e ambient occlusion a partir de high-poly para low-poly.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Organizar assets utilizando Texture Atlas, Trim Sheets e UDIMs para otimização de performance.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Otimizar texturas para motores de jogo considerando tamanho, compressão, mipmaps e empacotamento de canais.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Importar e configurar materiais PBR na Unity, validando a fidelidade visual entre DCC e motor.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Comunicar decisões técnicas e artísticas por meio de críticas coletivas e documentação reflexiva.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Desenvolver autonomia criativa e capacidade de iteração a partir de feedback estruturado.</w:t>
      </w:r>
    </w:p>
    <w:p>
      <w:pPr>
        <w:spacing w:after="60" w:before="60"/>
      </w:pPr>
      <w:r>
        <w:t xml:space="preserve"/>
      </w:r>
    </w:p>
    <w:p>
      <w:pPr>
        <w:pStyle w:val="Heading1"/>
        <w:pBdr>
          <w:bottom w:val="single" w:color="1F4E79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5. Competências Desenvolvidas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5.1 Competências Técnicas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Operação do pipeline de texturização: Blender → 3D Coat → Unity.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Criação e aplicação de UV maps funcionais para assets de jogos.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Produção de conjuntos de mapas PBR coerentes e fisicamente plausíveis.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Técnicas de bake (normal, AO, curvature, lightmap) de high-poly para low-poly.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Organização eficiente de assets com Texture Atlas e Trim Sheets.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Otimização de texturas para desempenho em tempo real.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5.2 Competências Artísticas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Leitura e análise de referências visuais para reprodução de materiais.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Pintura digital aplicada a texturas e uso de stencils.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Consistência visual entre assets de um mesmo Kit Modular.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Capacidade de iteração e refinamento estético com base em feedback.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5.3 Competências de Processo e Comunicação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Autoavaliação do próprio trabalho a partir de critérios técnicos e artísticos.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Justificativa verbal e escrita de decisões de projeto.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Recebimento e incorporação de feedback de pares e do professor.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Gestão do tempo e organização de arquivos dentro de um fluxo de produção semestral.</w:t>
      </w:r>
    </w:p>
    <w:p>
      <w:pPr>
        <w:spacing w:after="60" w:before="60"/>
      </w:pPr>
      <w:r>
        <w:t xml:space="preserve"/>
      </w:r>
    </w:p>
    <w:p>
      <w:pPr>
        <w:pStyle w:val="Heading1"/>
        <w:pBdr>
          <w:bottom w:val="single" w:color="1F4E79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6. Metodologia: Studio-Based Learning (SBL)</w:t>
      </w:r>
    </w:p>
    <w:p>
      <w:pPr>
        <w:spacing w:after="8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A disciplina adota o Studio-Based Learning como abordagem central. O conteúdo não é apresentado de forma expositiva isolada, mas emerge como resposta direta às necessidades do projeto em andamento. Os estudantes trabalham em estúdio durante a maior parte do tempo, com intervenções curtas e objetivas do professor. O projeto integrador — um Kit Modular de Ambiente — perpassa todas as 17 semanas, fornecendo contexto e propósito para cada conteúdo abordado.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6.1 Estrutura do Primeiro Encontro (1h30)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Mini-aula expositiva dialogada: 20 minutos.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Demonstração técnica com projeção ao vivo: 20 minutos.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Produção em estúdio com circulação do professor: 50 minutos.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6.2 Estrutura do Segundo Encontro (1h30)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Crítica coletiva — apresentação do trabalho em progresso por estudante(s) sorteado(s): 20 minutos.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Produção em estúdio com foco em iteração e incorporação do feedback: 60 minutos.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Fechamento — síntese das aprendizagens e orientação para a próxima etapa: 10 minutos.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6.3 Projeto Integrador</w:t>
      </w:r>
    </w:p>
    <w:p>
      <w:pPr>
        <w:spacing w:after="8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Nas semanas 1 e 2, cada estudante escolhe o tema do seu Kit Modular de Ambiente (ex.: Medieval, Fantasia, Sci-Fi, Pós-apocalíptico, Cyberpunk). Todas as entregas ao longo do semestre são peças deste projeto: nenhuma atividade é desconectada do contexto maior. O projeto culmina na Semana 17 com a apresentação e defesa do Kit completo.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6.4 Estratégias de Mediação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Perguntas abertas durante a produção para estimular reflexão (ex.: "Por que você escolheu essa roughness?").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Feedback em tempo real durante a produção em estúdio.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Circulação pelo estúdio com registros de progresso individual.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Uso de referências visuais (mood boards) como base para tomada de decisão artística.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Compartilhamento de tela e sobreposição de anotações durante as críticas.</w:t>
      </w:r>
    </w:p>
    <w:p>
      <w:pPr>
        <w:spacing w:after="60" w:before="60"/>
      </w:pPr>
      <w:r>
        <w:t xml:space="preserve"/>
      </w:r>
    </w:p>
    <w:p>
      <w:pPr>
        <w:pStyle w:val="Heading1"/>
        <w:pBdr>
          <w:bottom w:val="single" w:color="1F4E79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7. Recursos Utilizados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7.1 Softwares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Blender (abertura de malha UV, modelagem de referência, bake de texturas, renderização)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3D Coat (texturização PBR, pintura digital, stencils)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Unity (importação de assets, configuração de materiais, iluminação e lightmap baking)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Krita (opcional — pintura digital e criação de texturas seamless)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7.2 Materiais de Apoio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Apostila da disciplina: https://rsdevigo.github.io/apostila_texturizacao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Projeto Pedagógico do Curso (PPC) — Tecnologia em Jogos Digitais, IFMS Dourados, 2025.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Mood boards e referências visuais por tema (curados pelo professor em parceria com os estudantes).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Repositório compartilhado de assets para referência (modelos low-poly para prática de UV e bake).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7.3 Hardware e Infraestrutura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Laboratório de informática com estações equipadas com GPU compatível com viewport rendering.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Projetor ou tela de demonstração para mini-aulas e críticas.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Acesso a internet para referências visuais e documentação dos softwares.</w:t>
      </w:r>
    </w:p>
    <w:p>
      <w:pPr>
        <w:spacing w:after="60" w:before="60"/>
      </w:pPr>
      <w:r>
        <w:t xml:space="preserve"/>
      </w:r>
    </w:p>
    <w:p>
      <w:pPr>
        <w:pStyle w:val="Heading1"/>
        <w:pBdr>
          <w:bottom w:val="single" w:color="1F4E79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8. Estratégias de Avaliação</w:t>
      </w:r>
    </w:p>
    <w:p>
      <w:pPr>
        <w:spacing w:after="8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A avaliação é contínua, processual e baseada em artefatos produzidos ao longo do semestre. Não há provas ou testes escritos. O estudante é avaliado pela qualidade e evolução do trabalho produzido, pela participação ativa nas críticas coletivas e pela entrega do Projeto Final. A nota final (NF) é calculada conforme a fórmula abaixo:</w:t>
      </w:r>
    </w:p>
    <w:p>
      <w:pPr>
        <w:spacing w:after="60" w:before="60"/>
      </w:pPr>
      <w:r>
        <w:t xml:space="preserve"/>
      </w:r>
    </w:p>
    <w:p>
      <w:pPr>
        <w:spacing w:after="120" w:before="120"/>
        <w:jc w:val="center"/>
      </w:pPr>
      <w:r>
        <w:rPr>
          <w:rFonts w:ascii="Arial Mono" w:cs="Arial Mono" w:eastAsia="Arial Mono" w:hAnsi="Arial Mono"/>
          <w:b/>
          <w:bCs/>
          <w:color w:val="1F4E79"/>
          <w:sz w:val="26"/>
          <w:szCs w:val="26"/>
        </w:rPr>
        <w:t xml:space="preserve">NF = (PA × 0,40) + (CC × 0,20) + (PF × 0,40)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560"/>
        <w:gridCol w:w="1000"/>
        <w:gridCol w:w="1400"/>
      </w:tblGrid>
      <w:tr>
        <w:trPr>
          <w:tblHeader/>
        </w:trPr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Instrumento Avaliativo</w:t>
            </w:r>
          </w:p>
        </w:tc>
        <w:tc>
          <w:tcPr>
            <w:tcW w:type="dxa" w:w="4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Descrição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Peso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Quando</w:t>
            </w:r>
          </w:p>
        </w:tc>
      </w:tr>
      <w:tr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Portfolio de Artefatos (PA)</w:t>
            </w:r>
          </w:p>
        </w:tc>
        <w:tc>
          <w:tcPr>
            <w:tcW w:type="dxa" w:w="4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Conjunto de entregas parciais ao longo do semestre: mapas UV, materiais PBR, texturas artísticas e bake. Avaliados com rubrica por entrega.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40%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Semanas 3–14</w:t>
            </w:r>
          </w:p>
        </w:tc>
      </w:tr>
      <w:tr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Críticas Coletivas (CC)</w:t>
            </w:r>
          </w:p>
        </w:tc>
        <w:tc>
          <w:tcPr>
            <w:tcW w:type="dxa" w:w="4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Participação nas críticas semanais como apresentador e como avaliador dos colegas. Avalia comunicação, autoavaliação e incorporação de feedback.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20%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Semanas 2–16</w:t>
            </w:r>
          </w:p>
        </w:tc>
      </w:tr>
      <w:tr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Projeto Final – Kit Modular (PF)</w:t>
            </w:r>
          </w:p>
        </w:tc>
        <w:tc>
          <w:tcPr>
            <w:tcW w:type="dxa" w:w="4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Kit Modular de Ambiente completo com 5–10 assets texturizados, importados e funcionais na Unity. Defesa oral com justificativa das escolhas técnicas e artísticas.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40%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Semana 17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1"/>
        <w:pBdr>
          <w:bottom w:val="single" w:color="1F4E79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9. Critérios de Avaliação</w:t>
      </w:r>
    </w:p>
    <w:p>
      <w:pPr>
        <w:spacing w:after="8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Todos os instrumentos são avaliados com base nos seguintes critérios, aplicados mediante rubrica entregue ao estudante no início de cada etapa: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840"/>
        <w:gridCol w:w="1840"/>
        <w:gridCol w:w="1840"/>
        <w:gridCol w:w="1840"/>
      </w:tblGrid>
      <w:tr>
        <w:trPr>
          <w:tblHeader/>
        </w:trP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18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Insuficiente (0–4)</w:t>
            </w:r>
          </w:p>
        </w:tc>
        <w:tc>
          <w:tcPr>
            <w:tcW w:type="dxa" w:w="18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Básico (5–6)</w:t>
            </w:r>
          </w:p>
        </w:tc>
        <w:tc>
          <w:tcPr>
            <w:tcW w:type="dxa" w:w="18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Satisfatório (7–8)</w:t>
            </w:r>
          </w:p>
        </w:tc>
        <w:tc>
          <w:tcPr>
            <w:tcW w:type="dxa" w:w="18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Excelente (9–10)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Qualidade Técnica UV</w:t>
            </w:r>
          </w:p>
        </w:tc>
        <w:tc>
          <w:tcPr>
            <w:tcW w:type="dxa" w:w="18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Sobreposição evidente, distorção severa.</w:t>
            </w:r>
          </w:p>
        </w:tc>
        <w:tc>
          <w:tcPr>
            <w:tcW w:type="dxa" w:w="18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UV funcional com distorções menores.</w:t>
            </w:r>
          </w:p>
        </w:tc>
        <w:tc>
          <w:tcPr>
            <w:tcW w:type="dxa" w:w="18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UV bem distribuído, mínima distorção.</w:t>
            </w:r>
          </w:p>
        </w:tc>
        <w:tc>
          <w:tcPr>
            <w:tcW w:type="dxa" w:w="18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UV otimizado, texels uniformes, sem sobreposição.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Qualidade dos Mapas PBR</w:t>
            </w:r>
          </w:p>
        </w:tc>
        <w:tc>
          <w:tcPr>
            <w:tcW w:type="dxa" w:w="18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Mapas inconsistentes ou ausentes.</w:t>
            </w:r>
          </w:p>
        </w:tc>
        <w:tc>
          <w:tcPr>
            <w:tcW w:type="dxa" w:w="18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Mapas básicos presentes, sem coerência.</w:t>
            </w:r>
          </w:p>
        </w:tc>
        <w:tc>
          <w:tcPr>
            <w:tcW w:type="dxa" w:w="18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Metallic, roughness e normal coerentes.</w:t>
            </w:r>
          </w:p>
        </w:tc>
        <w:tc>
          <w:tcPr>
            <w:tcW w:type="dxa" w:w="18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Mapas fisicamente plausíveis com detalhes de bake.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Leitura Visual do Asset</w:t>
            </w:r>
          </w:p>
        </w:tc>
        <w:tc>
          <w:tcPr>
            <w:tcW w:type="dxa" w:w="18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asset não comunica o material.</w:t>
            </w:r>
          </w:p>
        </w:tc>
        <w:tc>
          <w:tcPr>
            <w:tcW w:type="dxa" w:w="18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Materiais perceptíveis sem consistência.</w:t>
            </w:r>
          </w:p>
        </w:tc>
        <w:tc>
          <w:tcPr>
            <w:tcW w:type="dxa" w:w="18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Assets com leitura clara e coerente.</w:t>
            </w:r>
          </w:p>
        </w:tc>
        <w:tc>
          <w:tcPr>
            <w:tcW w:type="dxa" w:w="18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Alta qualidade visual; materiais convincentes no motor.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Otimização e Performance</w:t>
            </w:r>
          </w:p>
        </w:tc>
        <w:tc>
          <w:tcPr>
            <w:tcW w:type="dxa" w:w="18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Texturas superdimensionadas, sem atlas.</w:t>
            </w:r>
          </w:p>
        </w:tc>
        <w:tc>
          <w:tcPr>
            <w:tcW w:type="dxa" w:w="18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Tamanho razoável, atlas incompleto.</w:t>
            </w:r>
          </w:p>
        </w:tc>
        <w:tc>
          <w:tcPr>
            <w:tcW w:type="dxa" w:w="18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Textures e atlas apropriados à plataforma.</w:t>
            </w:r>
          </w:p>
        </w:tc>
        <w:tc>
          <w:tcPr>
            <w:tcW w:type="dxa" w:w="18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Totalmente otimizado: atlas, mipmaps, compressão.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Documentação e Reflexão</w:t>
            </w:r>
          </w:p>
        </w:tc>
        <w:tc>
          <w:tcPr>
            <w:tcW w:type="dxa" w:w="18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Sem justificativas das decisões.</w:t>
            </w:r>
          </w:p>
        </w:tc>
        <w:tc>
          <w:tcPr>
            <w:tcW w:type="dxa" w:w="18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Decisões superficialmente justificadas.</w:t>
            </w:r>
          </w:p>
        </w:tc>
        <w:tc>
          <w:tcPr>
            <w:tcW w:type="dxa" w:w="18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Justificativas claras das escolhas técnicas.</w:t>
            </w:r>
          </w:p>
        </w:tc>
        <w:tc>
          <w:tcPr>
            <w:tcW w:type="dxa" w:w="18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Reflexão crítica sobre processo, erros e aprendizados.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9.1 Critérios de Participação nas Críticas Coletivas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Apresentação clara do trabalho em progresso (o que foi feito, qual foi a intenção, quais dificuldades foram encontradas).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Autoavaliação honesta com identificação de pontos de melhoria.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Qualidade do feedback dado aos pares (específico, construtivo, baseado em critérios técnicos ou artísticos).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Evidência de incorporação de feedback recebido em entregas subsequentes.</w:t>
      </w:r>
    </w:p>
    <w:p>
      <w:pPr>
        <w:spacing w:after="60" w:before="60"/>
      </w:pPr>
      <w:r>
        <w:t xml:space="preserve"/>
      </w:r>
    </w:p>
    <w:p>
      <w:pPr>
        <w:pStyle w:val="Heading1"/>
        <w:pBdr>
          <w:bottom w:val="single" w:color="1F4E79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10. Recuperação Paralela</w:t>
      </w:r>
    </w:p>
    <w:p>
      <w:pPr>
        <w:spacing w:after="8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A recuperação paralela ocorre de forma contínua, integrada à dinâmica da disciplina. Estudantes que não atingirem a pontuação mínima em uma entrega do Portfolio de Artefatos (nota &lt; 5,0) terão a oportunidade de retrabalhar o artefato e entregá-lo novamente até a semana seguinte à devolução do feedback. A nota do artefato refeito substitui a nota original.</w:t>
      </w:r>
    </w:p>
    <w:p>
      <w:pPr>
        <w:spacing w:after="8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O professor indicará formalmente, por escrito, os pontos que devem ser revisados. O processo de recuperação paralela não se aplica às Críticas Coletivas, pois sua natureza é processual e presencial.</w:t>
      </w:r>
    </w:p>
    <w:p>
      <w:pPr>
        <w:spacing w:after="60" w:before="60"/>
      </w:pPr>
      <w:r>
        <w:t xml:space="preserve"/>
      </w:r>
    </w:p>
    <w:p>
      <w:pPr>
        <w:pStyle w:val="Heading1"/>
        <w:pBdr>
          <w:bottom w:val="single" w:color="1F4E79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11. Recuperação Final</w:t>
      </w:r>
    </w:p>
    <w:p>
      <w:pPr>
        <w:spacing w:after="8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Estudante com nota final entre 4,0 e 6,9 (exclusive) terá direito à Recuperação Final, conforme normativa institucional do IFMS. A recuperação consistirá em: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Entrega revisada do Projeto Final (Kit Modular de Ambiente) com correções e melhorias documentadas.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Defesa oral de no mínimo 15 minutos na qual o estudante apresenta as mudanças realizadas e justifica as decisões de revisão.</w:t>
      </w:r>
    </w:p>
    <w:p>
      <w:pPr>
        <w:spacing w:after="8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A nota da Recuperação Final (NR) substituirá apenas a nota do Projeto Final (PF) na fórmula de cálculo, não alterando as notas do Portfolio ou das Críticas Coletivas. A nota final após recuperação será calculada como:</w:t>
      </w:r>
    </w:p>
    <w:p>
      <w:pPr>
        <w:spacing w:after="60" w:before="60"/>
      </w:pPr>
      <w:r>
        <w:t xml:space="preserve"/>
      </w:r>
    </w:p>
    <w:p>
      <w:pPr>
        <w:spacing w:after="120" w:before="120"/>
        <w:jc w:val="center"/>
      </w:pPr>
      <w:r>
        <w:rPr>
          <w:rFonts w:ascii="Arial Mono" w:cs="Arial Mono" w:eastAsia="Arial Mono" w:hAnsi="Arial Mono"/>
          <w:b/>
          <w:bCs/>
          <w:color w:val="1F4E79"/>
          <w:sz w:val="24"/>
          <w:szCs w:val="24"/>
        </w:rPr>
        <w:t xml:space="preserve">NF (recuperação) = (PA × 0,40) + (CC × 0,20) + (NR × 0,40)</w:t>
      </w:r>
    </w:p>
    <w:p>
      <w:pPr>
        <w:spacing w:after="8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A nota máxima passível de ser atingida após a Recuperação Final é 7,0 (sete), conforme regulamento acadêmico do IFMS.</w:t>
      </w:r>
    </w:p>
    <w:p>
      <w:pPr>
        <w:spacing w:after="60" w:before="60"/>
      </w:pPr>
      <w:r>
        <w:t xml:space="preserve"/>
      </w:r>
    </w:p>
    <w:p>
      <w:pPr>
        <w:pStyle w:val="Heading1"/>
        <w:pBdr>
          <w:bottom w:val="single" w:color="1F4E79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12. Conteúdo Programático por Unidade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Unidade I — Fundamentos e Mapeamento UV (Semanas 1–4)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Introdução à disciplina, apresentação do projeto integrador e escolha de temas.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Definição de material e textura em computação gráfica.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Projeção de textura e conceitos de mapeamento UV.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Prática de abertura de malha: Smart UV Project, Seams, Unwrap manual no Blender.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Análise de distorção e otimização de layout UV.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Unidade II — Materiais PBR e Workflow (Semanas 5–8)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Fundamentos do Physically Based Rendering (PBR).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Mapas PBR: Diffuse/Albedo, Metallic, Roughness, Normal, Subsurface.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Criação de texturas seamless e tileable.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Workflow de criação de materiais no 3D Coat: camadas, projeção e exportação.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Geração procedural de elementos em texturas.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Unidade III — Pintura Digital e Bake (Semanas 9–12)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Texturização artística por pintura digital e uso de stencils no 3D Coat.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Bake de texturas: Normal Map, Ambient Occlusion, Curvature, ID Map.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Transferência de detalhe de high-poly para low-poly.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Integração de resultado de bake ao workflow PBR.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Unidade IV — Otimização e Integração ao Motor (Semanas 13–16)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Texture Atlas e organização de múltiplos assets em uma única textura.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Trim Sheets: conceito, criação e aplicação.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UDIMs e Multi Tile Texture para assets complexos.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Otimização de performance: tamanho, compressão, mipmaps e empacotamento de canais.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Abertura de malha para mapa de iluminação (lightmap UV).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Importação, configuração de materiais e renderização na Unity.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Unidade V — Projeto Final e Apresentação (Semana 17)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Finalização do Kit Modular de Ambiente.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Apresentação e defesa oral com crítica aberta.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Autoavaliação final documentada.</w:t>
      </w:r>
    </w:p>
    <w:p>
      <w:pPr>
        <w:spacing w:after="60" w:before="60"/>
      </w:pPr>
      <w:r>
        <w:t xml:space="preserve"/>
      </w:r>
    </w:p>
    <w:p>
      <w:pPr>
        <w:pStyle w:val="Heading1"/>
        <w:pBdr>
          <w:bottom w:val="single" w:color="1F4E79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13. Cronograma Resumido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4760"/>
        <w:gridCol w:w="3400"/>
      </w:tblGrid>
      <w:tr>
        <w:trPr>
          <w:tblHeader/>
        </w:trPr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Semana</w:t>
            </w:r>
          </w:p>
        </w:tc>
        <w:tc>
          <w:tcPr>
            <w:tcW w:type="dxa" w:w="4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Conteúdo / Atividade</w:t>
            </w:r>
          </w:p>
        </w:tc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Entrega / Marco</w:t>
            </w:r>
          </w:p>
        </w:tc>
      </w:tr>
      <w:tr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4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Apresentação da disciplina, SBL, escolha de temas</w:t>
            </w:r>
          </w:p>
        </w:tc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Tema do Kit definido</w:t>
            </w:r>
          </w:p>
        </w:tc>
      </w:tr>
      <w:tr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4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Fundamentos de textura e UV; primeiro critique</w:t>
            </w:r>
          </w:p>
        </w:tc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4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Abertura de malha UV — Smart Unwrap e Seams</w:t>
            </w:r>
          </w:p>
        </w:tc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UV Map 01 (asset simples)</w:t>
            </w:r>
          </w:p>
        </w:tc>
      </w:tr>
      <w:tr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4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Layout UV, distorção e otimização</w:t>
            </w:r>
          </w:p>
        </w:tc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UV Map 02 (asset do projeto)</w:t>
            </w:r>
          </w:p>
        </w:tc>
      </w:tr>
      <w:tr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4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Fundamentos PBR; criação de Albedo e Normal</w:t>
            </w:r>
          </w:p>
        </w:tc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  <w:tc>
          <w:tcPr>
            <w:tcW w:type="dxa" w:w="4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Metallic, Roughness, Subsurface no 3D Coat</w:t>
            </w:r>
          </w:p>
        </w:tc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Set PBR 01 (1 material)</w:t>
            </w:r>
          </w:p>
        </w:tc>
      </w:tr>
      <w:tr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4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Texturas seamless e geração procedural</w:t>
            </w:r>
          </w:p>
        </w:tc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4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Workflow completo PBR no 3D Coat</w:t>
            </w:r>
          </w:p>
        </w:tc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Set PBR 02 (2 materiais)</w:t>
            </w:r>
          </w:p>
        </w:tc>
      </w:tr>
      <w:tr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</w:t>
            </w:r>
          </w:p>
        </w:tc>
        <w:tc>
          <w:tcPr>
            <w:tcW w:type="dxa" w:w="4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Pintura digital: camadas e máscaras</w:t>
            </w:r>
          </w:p>
        </w:tc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4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Stencils e detalhamento artístico</w:t>
            </w:r>
          </w:p>
        </w:tc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Textura Artística 01</w:t>
            </w:r>
          </w:p>
        </w:tc>
      </w:tr>
      <w:tr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11</w:t>
            </w:r>
          </w:p>
        </w:tc>
        <w:tc>
          <w:tcPr>
            <w:tcW w:type="dxa" w:w="4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Bake: Normal Map e AO (high→low)</w:t>
            </w:r>
          </w:p>
        </w:tc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12</w:t>
            </w:r>
          </w:p>
        </w:tc>
        <w:tc>
          <w:tcPr>
            <w:tcW w:type="dxa" w:w="4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Bake avançado: Curvature e ID Map</w:t>
            </w:r>
          </w:p>
        </w:tc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Bake completo do asset principal</w:t>
            </w:r>
          </w:p>
        </w:tc>
      </w:tr>
      <w:tr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13</w:t>
            </w:r>
          </w:p>
        </w:tc>
        <w:tc>
          <w:tcPr>
            <w:tcW w:type="dxa" w:w="4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Texture Atlas — conceito e criação</w:t>
            </w:r>
          </w:p>
        </w:tc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14</w:t>
            </w:r>
          </w:p>
        </w:tc>
        <w:tc>
          <w:tcPr>
            <w:tcW w:type="dxa" w:w="4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Trim Sheets e UDIMs</w:t>
            </w:r>
          </w:p>
        </w:tc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Atlas / Trim Sheet do Kit</w:t>
            </w:r>
          </w:p>
        </w:tc>
      </w:tr>
      <w:tr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15</w:t>
            </w:r>
          </w:p>
        </w:tc>
        <w:tc>
          <w:tcPr>
            <w:tcW w:type="dxa" w:w="4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Otimização: compressão, mipmaps, empacotamento</w:t>
            </w:r>
          </w:p>
        </w:tc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4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Integração na Unity: materiais, lightmap UV</w:t>
            </w:r>
          </w:p>
        </w:tc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Assets importados na Unity</w:t>
            </w:r>
          </w:p>
        </w:tc>
      </w:tr>
      <w:tr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17</w:t>
            </w:r>
          </w:p>
        </w:tc>
        <w:tc>
          <w:tcPr>
            <w:tcW w:type="dxa" w:w="4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Apresentação e defesa do Projeto Final</w:t>
            </w:r>
          </w:p>
        </w:tc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Kit Modular de Ambiente completo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1"/>
        <w:pBdr>
          <w:bottom w:val="single" w:color="1F4E79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14. Bibliografia Básica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DEVIGO, Rodrigo. Apostila de Texturização. IFMS Campus Dourados, 2026. Disponível em: https://rsdevigo.github.io/apostila_texturizacao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AKENINE-MÖLLER, Tomas; HAINES, Eric; HOFFMAN, Naty. Real-Time Rendering. 4. ed. Boca Raton: CRC Press, 2018.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ALLEGORITHMIC. Substance PBR Guide. Disponível em: https://academy.substance3d.com/courses/the-pbr-guide-part-1</w:t>
      </w:r>
    </w:p>
    <w:p>
      <w:pPr>
        <w:spacing w:after="60" w:before="60"/>
      </w:pPr>
      <w:r>
        <w:t xml:space="preserve"/>
      </w:r>
    </w:p>
    <w:p>
      <w:pPr>
        <w:pStyle w:val="Heading1"/>
        <w:pBdr>
          <w:bottom w:val="single" w:color="1F4E79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15. Bibliografia Complementar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BLENDER FOUNDATION. Blender Reference Manual. Disponível em: https://docs.blender.org/manual/en/latest/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3DCOAT. 3DCoat Documentation. Disponível em: https://3dcoat.com/manual/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UNITY TECHNOLOGIES. Unity Manual: Materials and Shaders. Disponível em: https://docs.unity3d.com/Manual/Shaders.html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MARMOSET. Toolbag Baking Reference. Disponível em: https://marmoset.co/posts/toolbag-baking-reference/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FLICK, Javier. Physically Based Rendering: From Theory to Implementation. Disponível em: https://pbr-book.org/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DIRECTXTEX. Block Compression. Microsoft Docs. Disponível em: https://docs.microsoft.com/en-us/windows/win32/direct3d11/texture-block-compression</w:t>
      </w:r>
    </w:p>
    <w:p>
      <w:pPr>
        <w:spacing w:after="60" w:before="60"/>
      </w:pPr>
      <w:r>
        <w:t xml:space="preserve"/>
      </w:r>
    </w:p>
    <w:p>
      <w:pPr>
        <w:pStyle w:val="Heading1"/>
        <w:pBdr>
          <w:bottom w:val="single" w:color="1F4E79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Aprovação</w:t>
      </w:r>
    </w:p>
    <w:p>
      <w:pPr>
        <w:spacing w:after="8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Dourados, MS, Julho de 2026.</w:t>
      </w:r>
    </w:p>
    <w:p>
      <w:pPr>
        <w:spacing w:after="60" w:before="6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spacing w:after="80" w:before="360"/>
      </w:pPr>
      <w:r>
        <w:rPr>
          <w:rFonts w:ascii="Arial" w:cs="Arial" w:eastAsia="Arial" w:hAnsi="Arial"/>
          <w:sz w:val="22"/>
          <w:szCs w:val="22"/>
        </w:rPr>
        <w:t xml:space="preserve">_______________________________________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Prof. Rodrigo Devigo</w:t>
      </w:r>
    </w:p>
    <w:p>
      <w:pPr>
        <w:spacing w:after="80" w:before="0"/>
      </w:pPr>
      <w:r>
        <w:rPr>
          <w:rFonts w:ascii="Arial" w:cs="Arial" w:eastAsia="Arial" w:hAnsi="Arial"/>
          <w:sz w:val="22"/>
          <w:szCs w:val="22"/>
        </w:rPr>
        <w:t xml:space="preserve">Professor Responsável — Disciplina de Texturização</w:t>
      </w:r>
    </w:p>
    <w:p>
      <w:pPr>
        <w:spacing w:after="60" w:before="6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spacing w:after="80" w:before="360"/>
      </w:pPr>
      <w:r>
        <w:rPr>
          <w:rFonts w:ascii="Arial" w:cs="Arial" w:eastAsia="Arial" w:hAnsi="Arial"/>
          <w:sz w:val="22"/>
          <w:szCs w:val="22"/>
        </w:rPr>
        <w:t xml:space="preserve">_______________________________________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Coordenação do Curso</w:t>
      </w:r>
    </w:p>
    <w:p>
      <w:pPr>
        <w:spacing w:after="80" w:before="0"/>
      </w:pPr>
      <w:r>
        <w:rPr>
          <w:rFonts w:ascii="Arial" w:cs="Arial" w:eastAsia="Arial" w:hAnsi="Arial"/>
          <w:sz w:val="22"/>
          <w:szCs w:val="22"/>
        </w:rPr>
        <w:t xml:space="preserve">Tecnologia em Jogos Digitais — IFMS Campus Dourados</w:t>
      </w:r>
    </w:p>
    <w:sectPr>
      <w:headerReference w:type="default" r:id="rId7"/>
      <w:footerReference w:type="default" r:id="rId8"/>
      <w:pgSz w:w="11906" w:h="16838" w:orient="portrait"/>
      <w:pgMar w:top="1418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4E79" w:sz="4" w:space="4"/>
      </w:pBdr>
    </w:pPr>
    <w:r>
      <w:rPr>
        <w:rFonts w:ascii="Arial" w:cs="Arial" w:eastAsia="Arial" w:hAnsi="Arial"/>
        <w:color w:val="888888"/>
        <w:sz w:val="18"/>
        <w:szCs w:val="18"/>
      </w:rPr>
      <w:t xml:space="preserve">Tecnologia em Jogos Digitais  |  Disciplina: Texturização  |  Página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F4E79" w:sz="4" w:space="4"/>
      </w:pBdr>
      <w:jc w:val="right"/>
    </w:pPr>
    <w:r>
      <w:rPr>
        <w:rFonts w:ascii="Arial" w:cs="Arial" w:eastAsia="Arial" w:hAnsi="Arial"/>
        <w:color w:val="888888"/>
        <w:sz w:val="18"/>
        <w:szCs w:val="18"/>
      </w:rPr>
      <w:t xml:space="preserve">IFMS Campus Dourados — Plano de Ensino: Texturização |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color w:val="1F4E79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2026-06-24T01:32:11.027Z</dcterms:created>
  <dcterms:modified xsi:type="dcterms:W3CDTF">2026-06-24T01:32:11.027Z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