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SyncHub — Technické výzvy a neštandardné riešenia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Manažérsky podklad  ·  SEDAJ s.r.o.  ·  Máj 2026</w:t>
      </w:r>
    </w:p>
    <w:p>
      <w:pPr>
        <w:pStyle w:val="Heading1"/>
        <w:spacing w:after="160" w:before="320"/>
      </w:pPr>
      <w:r>
        <w:t xml:space="preserve">1. ONIX ERP — neštandardné správanie API</w:t>
      </w:r>
    </w:p>
    <w:p>
      <w:pPr>
        <w:spacing w:after="200"/>
      </w:pPr>
      <w:r>
        <w:t xml:space="preserve">ONIX (KROS a.s.) je interný ERP systém, ktorého REST API sa v niekoľkých zásadných bodoch odchyľuje od bežných REST konvencií. Každý z nasledujúcich bodov si vyžiadal špeciálne riešenie.</w:t>
      </w:r>
    </w:p>
    <w:p>
      <w:pPr>
        <w:pStyle w:val="Heading2"/>
        <w:spacing w:after="100" w:before="200"/>
      </w:pPr>
      <w:r>
        <w:t xml:space="preserve">1.1  Stránkovanie — trojrežimový systém</w:t>
      </w:r>
    </w:p>
    <w:p>
      <w:pPr>
        <w:spacing w:after="100"/>
      </w:pPr>
      <w:r>
        <w:t xml:space="preserve">Bežné REST API vráti záznamy naraz alebo jasne dokumentuje stránkovanie. ONIX podporuje tri odlišné režimy naraz, bez záruky, ktorý bude aktívny: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OData (@odata.nextLink)</w:t>
      </w:r>
      <w:r>
        <w:t xml:space="preserve"> — OData v4 odkaz na ďalšiu stránku, sledovaný v slučke.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OData (@odata.count)</w:t>
      </w:r>
      <w:r>
        <w:t xml:space="preserve"> — celkový počet záznamov, vrátený len ak sa explicitne pýtame cez $count=true.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Fallback bez OData</w:t>
      </w:r>
      <w:r>
        <w:t xml:space="preserve"> — vlastné stránkovanie cez $skip/$top s ochranným limitom 10 000 stránok a detekciou ignorovania $skip.</w:t>
      </w:r>
    </w:p>
    <w:p>
      <w:pPr>
        <w:spacing w:after="200"/>
      </w:pPr>
      <w:r>
        <w:rPr>
          <w:i/>
          <w:iCs/>
          <w:color w:val="555555"/>
        </w:rPr>
        <w:t xml:space="preserve">Výsledok: tri odlišné vetvy kódu pre jeden typ operácie.</w:t>
      </w:r>
    </w:p>
    <w:p>
      <w:pPr>
        <w:pStyle w:val="Heading2"/>
        <w:spacing w:after="100" w:before="200"/>
      </w:pPr>
      <w:r>
        <w:t xml:space="preserve">1.2  CustomColumns — schované vlastné polia</w:t>
      </w:r>
    </w:p>
    <w:p>
      <w:pPr>
        <w:spacing w:after="200"/>
      </w:pPr>
      <w:r>
        <w:t xml:space="preserve">ONIX má systém vlastných stĺpcov (CustomColumns) pre doplnkové dáta zákazníka. </w:t>
      </w:r>
      <w:r>
        <w:rPr>
          <w:b/>
          <w:bCs/>
        </w:rPr>
        <w:t xml:space="preserve">ONIX tieto polia do odpovede nezahrnie bez explicitného parametra ?tables=CustomColumns.</w:t>
      </w:r>
      <w:r>
        <w:t xml:space="preserve"> Bez neho pole CustomColumns chýba v odpovedi, žiadne záznamy sa nenájdu a synchronizácia ticho zlyhá bez chybovej hlášky.</w:t>
      </w:r>
    </w:p>
    <w:p>
      <w:pPr>
        <w:pStyle w:val="Heading2"/>
        <w:spacing w:after="100" w:before="200"/>
      </w:pPr>
      <w:r>
        <w:t xml:space="preserve">1.3  POST pre CREATE aj UPDATE (upsert)</w:t>
      </w:r>
    </w:p>
    <w:p>
      <w:pPr>
        <w:spacing w:after="200"/>
      </w:pPr>
      <w:r>
        <w:t xml:space="preserve">Väčšina REST API používa POST pre vytvorenie a PUT/PATCH pre aktualizáciu. </w:t>
      </w:r>
      <w:r>
        <w:rPr>
          <w:b/>
          <w:bCs/>
        </w:rPr>
        <w:t xml:space="preserve">ONIX používa POST pre oboje — upsert podľa Ns_Number.</w:t>
      </w:r>
      <w:r>
        <w:t xml:space="preserve"> Ak existujú v ONIX dva záznamy s rovnakým Ns_Number (chyba dát v ONIX), nie je technicky možné cieliť konkrétny — takéto záznamy sa musia preskočiť a reportovať.</w:t>
      </w:r>
    </w:p>
    <w:p>
      <w:pPr>
        <w:pStyle w:val="Heading2"/>
        <w:spacing w:after="100" w:before="200"/>
      </w:pPr>
      <w:r>
        <w:t xml:space="preserve">1.4  RecordExternalIdentificator — povinný pri každom POST</w:t>
      </w:r>
    </w:p>
    <w:p>
      <w:pPr>
        <w:spacing w:after="200"/>
      </w:pPr>
      <w:r>
        <w:t xml:space="preserve">ONIX vyžaduje na každom POST vrátane aktualizácií pole RecordExternalIdentificator. </w:t>
      </w:r>
      <w:r>
        <w:rPr>
          <w:b/>
          <w:bCs/>
        </w:rPr>
        <w:t xml:space="preserve">Musíme ho zachytiť pri pred-načítaní indexu a uchovať pre každý záznam.</w:t>
      </w:r>
      <w:r>
        <w:t xml:space="preserve"> Ak chýba, ONIX vytvorí duplicitný záznam namiesto aktualizácie.</w:t>
      </w:r>
    </w:p>
    <w:p>
      <w:pPr>
        <w:pStyle w:val="Heading2"/>
        <w:spacing w:after="100" w:before="200"/>
      </w:pPr>
      <w:r>
        <w:t xml:space="preserve">1.5  Povinné polia — automatické dopĺňanie</w:t>
      </w:r>
    </w:p>
    <w:p>
      <w:pPr>
        <w:spacing w:after="160"/>
      </w:pPr>
      <w:r>
        <w:t xml:space="preserve">ONIX odmietne POST ak chýbajú polia, ktoré zdrojový systém bežne neobsahuje: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/>
          <w:iCs/>
        </w:rPr>
        <w:t xml:space="preserve">Ns_Number, RecordExternalIdentificator, Default_Price, Default_Stock, Type, Ns_Code</w:t>
      </w:r>
    </w:p>
    <w:p>
      <w:pPr>
        <w:spacing w:after="200"/>
      </w:pPr>
      <w:r>
        <w:t xml:space="preserve">SyncHub automaticky dopĺňa tieto polia z dostupných zdrojov alebo nastaví bezpečné predvolené hodnoty.</w:t>
      </w:r>
    </w:p>
    <w:p>
      <w:pPr>
        <w:pStyle w:val="Heading2"/>
        <w:spacing w:after="100" w:before="200"/>
      </w:pPr>
      <w:r>
        <w:t xml:space="preserve">1.6  Read-only polia — automatické odstránenie</w:t>
      </w:r>
    </w:p>
    <w:p>
      <w:pPr>
        <w:spacing w:after="160"/>
      </w:pPr>
      <w:r>
        <w:t xml:space="preserve">ONIX vracia pri GET záznamy s poľami, ktoré sú pri POST read-only a API ich odmietne. Automaticky ich odstraňujeme pred každým odoslaním: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StockItemBalance, StockItemGroups, StockItemParams, StockItemCodes, StockItemAccessories, StockItemAlternatives, StockItemPartners, StockItemMeasureUnits, Enclosures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t xml:space="preserve">1.7  Sekvenčné spracovanie — zákaz paralelizmu</w:t>
      </w:r>
    </w:p>
    <w:p>
      <w:pPr>
        <w:spacing w:after="200"/>
      </w:pPr>
      <w:r>
        <w:rPr>
          <w:b/>
          <w:bCs/>
        </w:rPr>
        <w:t xml:space="preserve">ONIX nie je schopný spoľahlivo spracovávať súbežné požiadavky</w:t>
      </w:r>
      <w:r>
        <w:t xml:space="preserve"> — pri záťaži vracia chyby alebo prepíše vlastné záznamy. Všetky POST volania sa vykonávajú sekvenčne jedno za druhým. Toto je hlavný dôvod dlhšieho trvania synchronizácie oproti iným systémom.</w:t>
      </w:r>
    </w:p>
    <w:p>
      <w:pPr>
        <w:pStyle w:val="Heading2"/>
        <w:spacing w:after="100" w:before="200"/>
      </w:pPr>
      <w:r>
        <w:t xml:space="preserve">1.8  Retry logika — nestabilita pod záťažou</w:t>
      </w:r>
    </w:p>
    <w:p>
      <w:pPr>
        <w:spacing w:after="200"/>
      </w:pPr>
      <w:r>
        <w:t xml:space="preserve">ONIX vracia HTTP 429 a HTTP 503 aj pri sekvenčnom spracovaní. Implementovaná logika: </w:t>
      </w:r>
      <w:r>
        <w:rPr>
          <w:b/>
          <w:bCs/>
        </w:rPr>
        <w:t xml:space="preserve">až 3 pokusy na každý záznam</w:t>
      </w:r>
      <w:r>
        <w:t xml:space="preserve"> s pauzou podľa Retry-After alebo 5 sekúnd. Rovnako pri sieťových timeoutoch.</w:t>
      </w:r>
    </w:p>
    <w:p>
      <w:pPr>
        <w:pStyle w:val="Heading2"/>
        <w:spacing w:after="100" w:before="200"/>
      </w:pPr>
      <w:r>
        <w:t xml:space="preserve">1.9  DatabasePath — viacero databáz na jednom serveri</w:t>
      </w:r>
    </w:p>
    <w:p>
      <w:pPr>
        <w:spacing w:after="200"/>
      </w:pPr>
      <w:r>
        <w:t xml:space="preserve">Správna databáza sa neadresuje cez URL, ale cez </w:t>
      </w:r>
      <w:r>
        <w:rPr>
          <w:b/>
          <w:bCs/>
        </w:rPr>
        <w:t xml:space="preserve">HTTP hlavičku DatabasePath</w:t>
      </w:r>
      <w:r>
        <w:t xml:space="preserve">. Bez nej ONIX použije predvolenú (nesprávnu) databázu.</w:t>
      </w:r>
    </w:p>
    <w:p>
      <w:pPr>
        <w:pStyle w:val="Heading2"/>
        <w:spacing w:after="100" w:before="200"/>
      </w:pPr>
      <w:r>
        <w:t xml:space="preserve">1.10  Index cache — pred-načítanie celého obsahu ONIX</w:t>
      </w:r>
    </w:p>
    <w:p>
      <w:pPr>
        <w:spacing w:after="300"/>
      </w:pPr>
      <w:r>
        <w:t xml:space="preserve">Pred každou synchronizáciou je potrebné stiahnuť celý obsah ONIX. Pri desiatkach tisíc záznamov trvá toto minúty. Implementovaný </w:t>
      </w:r>
      <w:r>
        <w:rPr>
          <w:b/>
          <w:bCs/>
        </w:rPr>
        <w:t xml:space="preserve">2-hodinový cache</w:t>
      </w:r>
      <w:r>
        <w:t xml:space="preserve"> pre opakované synchronizácie v rámci dňa.</w:t>
      </w:r>
    </w:p>
    <w:p>
      <w:pPr>
        <w:pStyle w:val="Heading1"/>
        <w:spacing w:after="160" w:before="320"/>
      </w:pPr>
      <w:r>
        <w:t xml:space="preserve">2. H kód (harmonizovaný colný kód) — vlastný systém</w:t>
      </w:r>
    </w:p>
    <w:p>
      <w:pPr>
        <w:spacing w:after="120"/>
      </w:pPr>
      <w:r>
        <w:t xml:space="preserve">Každá skladová položka musí mať unikátny interný kód (H000001, H000002...) pre colné účely. ONIX túto funkcionalitu nemá vstavaná. Implementovaný systém: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Automatický counter</w:t>
      </w:r>
      <w:r>
        <w:t xml:space="preserve"> — uložený v konfigurácii, inkrementuje sa pri každom behu, persisuje späť.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Logika rozhodovania</w:t>
      </w:r>
      <w:r>
        <w:t xml:space="preserve"> — H kód existuje → zachovaj; chýba → priraď nový; záznam preskočený → označ ako skipped.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Audit tabuľka hkod_decisions</w:t>
      </w:r>
      <w:r>
        <w:t xml:space="preserve"> — každé rozhodnutie uložené s dôvodom, hodnotou kódu a ID záznamu. Exportovateľné do CSV.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Záchranná logika</w:t>
      </w:r>
      <w:r>
        <w:t xml:space="preserve"> — ak uloženie countra zlyhá, zapíše sa varovanie, ale synchronizácia nespadne.</w:t>
      </w:r>
    </w:p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t xml:space="preserve">3. Delta synchronizácia — efektívne spracovanie zmien</w:t>
      </w:r>
    </w:p>
    <w:p>
      <w:pPr>
        <w:spacing w:after="100"/>
      </w:pPr>
      <w:r>
        <w:t xml:space="preserve">Problém: denná synchronizácia 100 000 záznamov = 100 000 sekvenčných API volaní. Prakticky nerealizovateľné bez optimalizácie.</w:t>
      </w:r>
    </w:p>
    <w:p>
      <w:pPr>
        <w:spacing w:after="100"/>
      </w:pPr>
      <w:r>
        <w:rPr>
          <w:b/>
          <w:bCs/>
        </w:rPr>
        <w:t xml:space="preserve">Riešenie: MD5 hash porovnávanie.</w:t>
      </w:r>
      <w:r>
        <w:t xml:space="preserve"> Pre každý záznam sa vypočíta hash mapovaných polí. Ak sa nezmenil od posledného behu, záznam sa preskočí. Do ONIX idú iba skutočne zmenené záznamy.</w:t>
      </w:r>
    </w:p>
    <w:p>
      <w:pPr>
        <w:spacing w:after="300"/>
      </w:pPr>
      <w:r>
        <w:rPr>
          <w:i/>
          <w:iCs/>
          <w:color w:val="333333"/>
        </w:rPr>
        <w:t xml:space="preserve">Praktická úspora: typicky 90–99 % záznamov je bez zmeny. Synchronizácia, ktorá by trvala hodiny, prebehne v minútach.</w:t>
      </w:r>
    </w:p>
    <w:p>
      <w:pPr>
        <w:pStyle w:val="Heading1"/>
        <w:spacing w:after="160" w:before="320"/>
      </w:pPr>
      <w:r>
        <w:t xml:space="preserve">4. Ostatné napojené systémy — neštandardnosti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22222" w:color="222222" w:val="solid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Systém</w:t>
            </w:r>
          </w:p>
        </w:tc>
        <w:tc>
          <w:tcPr>
            <w:shd w:fill="222222" w:color="222222" w:val="solid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Neštandardnosť</w:t>
            </w:r>
          </w:p>
        </w:tc>
        <w:tc>
          <w:tcPr>
            <w:shd w:fill="222222" w:color="222222" w:val="solid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Riešenie</w:t>
            </w:r>
          </w:p>
        </w:tc>
      </w:tr>
      <w:tr>
        <w:tc>
          <w:tcPr>
            <w:shd w:fill="F5F5F5" w:color="F5F5F5" w:val="solid"/>
          </w:tcPr>
          <w:p>
            <w:r>
              <w:t xml:space="preserve">Stricker Europe</w:t>
            </w:r>
          </w:p>
        </w:tc>
        <w:tc>
          <w:tcPr>
            <w:shd w:fill="F5F5F5" w:color="F5F5F5" w:val="solid"/>
          </w:tcPr>
          <w:p>
            <w:r>
              <w:t xml:space="preserve">Session autentifikácia — najprv získať token cez login endpoint, potom ho použiť pri každej požiadavke</w:t>
            </w:r>
          </w:p>
        </w:tc>
        <w:tc>
          <w:tcPr>
            <w:shd w:fill="F5F5F5" w:color="F5F5F5" w:val="solid"/>
          </w:tcPr>
          <w:p>
            <w:r>
              <w:t xml:space="preserve">Automatické prihlasovanie pred fetchom, rotácia tokenu</w:t>
            </w:r>
          </w:p>
        </w:tc>
      </w:tr>
      <w:tr>
        <w:tc>
          <w:tcPr>
            <w:shd w:fill="FFFFFF" w:color="FFFFFF" w:val="solid"/>
          </w:tcPr>
          <w:p>
            <w:r>
              <w:t xml:space="preserve">Raynet CRM</w:t>
            </w:r>
          </w:p>
        </w:tc>
        <w:tc>
          <w:tcPr>
            <w:shd w:fill="FFFFFF" w:color="FFFFFF" w:val="solid"/>
          </w:tcPr>
          <w:p>
            <w:r>
              <w:t xml:space="preserve">Vyžaduje custom HTTP hlavičku X-Instance-Name pri každej požiadavke</w:t>
            </w:r>
          </w:p>
        </w:tc>
        <w:tc>
          <w:tcPr>
            <w:shd w:fill="FFFFFF" w:color="FFFFFF" w:val="solid"/>
          </w:tcPr>
          <w:p>
            <w:r>
              <w:t xml:space="preserve">Pridaná do všetkých volaní ako súčasť autentifikácie</w:t>
            </w:r>
          </w:p>
        </w:tc>
      </w:tr>
      <w:tr>
        <w:tc>
          <w:tcPr>
            <w:shd w:fill="F5F5F5" w:color="F5F5F5" w:val="solid"/>
          </w:tcPr>
          <w:p>
            <w:r>
              <w:t xml:space="preserve">Raynet CRM</w:t>
            </w:r>
          </w:p>
        </w:tc>
        <w:tc>
          <w:tcPr>
            <w:shd w:fill="F5F5F5" w:color="F5F5F5" w:val="solid"/>
          </w:tcPr>
          <w:p>
            <w:r>
              <w:t xml:space="preserve">Rate limiting (HTTP 429) s Retry-After hlavičkou</w:t>
            </w:r>
          </w:p>
        </w:tc>
        <w:tc>
          <w:tcPr>
            <w:shd w:fill="F5F5F5" w:color="F5F5F5" w:val="solid"/>
          </w:tcPr>
          <w:p>
            <w:r>
              <w:t xml:space="preserve">Automatická pauza a retry podľa hodnoty hlavičky</w:t>
            </w:r>
          </w:p>
        </w:tc>
      </w:tr>
      <w:tr>
        <w:tc>
          <w:tcPr>
            <w:shd w:fill="FFFFFF" w:color="FFFFFF" w:val="solid"/>
          </w:tcPr>
          <w:p>
            <w:r>
              <w:t xml:space="preserve">Promotron</w:t>
            </w:r>
          </w:p>
        </w:tc>
        <w:tc>
          <w:tcPr>
            <w:shd w:fill="FFFFFF" w:color="FFFFFF" w:val="solid"/>
          </w:tcPr>
          <w:p>
            <w:r>
              <w:t xml:space="preserve">XML feed veľkosti ~121 MB — načítanie celého do pamäte by zlyhalo</w:t>
            </w:r>
          </w:p>
        </w:tc>
        <w:tc>
          <w:tcPr>
            <w:shd w:fill="FFFFFF" w:color="FFFFFF" w:val="solid"/>
          </w:tcPr>
          <w:p>
            <w:r>
              <w:t xml:space="preserve">Streaming XML parser, spracovanie po častiach</w:t>
            </w:r>
          </w:p>
        </w:tc>
      </w:tr>
      <w:tr>
        <w:tc>
          <w:tcPr>
            <w:shd w:fill="F5F5F5" w:color="F5F5F5" w:val="solid"/>
          </w:tcPr>
          <w:p>
            <w:r>
              <w:t xml:space="preserve">PF Concept</w:t>
            </w:r>
          </w:p>
        </w:tc>
        <w:tc>
          <w:tcPr>
            <w:shd w:fill="F5F5F5" w:color="F5F5F5" w:val="solid"/>
          </w:tcPr>
          <w:p>
            <w:r>
              <w:t xml:space="preserve">Proprietárny formát Data Feeds Gateway v3 (XML)</w:t>
            </w:r>
          </w:p>
        </w:tc>
        <w:tc>
          <w:tcPr>
            <w:shd w:fill="F5F5F5" w:color="F5F5F5" w:val="solid"/>
          </w:tcPr>
          <w:p>
            <w:r>
              <w:t xml:space="preserve">Vlastný parser prispôsobený formátu</w:t>
            </w:r>
          </w:p>
        </w:tc>
      </w:tr>
      <w:tr>
        <w:tc>
          <w:tcPr>
            <w:shd w:fill="FFFFFF" w:color="FFFFFF" w:val="solid"/>
          </w:tcPr>
          <w:p>
            <w:r>
              <w:t xml:space="preserve">ONIX (všeobecne)</w:t>
            </w:r>
          </w:p>
        </w:tc>
        <w:tc>
          <w:tcPr>
            <w:shd w:fill="FFFFFF" w:color="FFFFFF" w:val="solid"/>
          </w:tcPr>
          <w:p>
            <w:r>
              <w:t xml:space="preserve">Rôzne endpointy vracajú odlišnú štruktúru pre rovnaký typ dát</w:t>
            </w:r>
          </w:p>
        </w:tc>
        <w:tc>
          <w:tcPr>
            <w:shd w:fill="FFFFFF" w:color="FFFFFF" w:val="solid"/>
          </w:tcPr>
          <w:p>
            <w:r>
              <w:t xml:space="preserve">Normalizácia odpovedí pred ďalším spracovaním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t xml:space="preserve">5. Odolnosť a bezpečnosť platformy</w:t>
      </w:r>
    </w:p>
    <w:p>
      <w:pPr>
        <w:spacing w:after="160"/>
      </w:pPr>
      <w:r>
        <w:t xml:space="preserve">Tieto funkcie neboli v pôvodnom zadaní, ale ukázali sa ako nevyhnutné pri reálnej prevádzke: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Zombie run cleanup</w:t>
      </w:r>
      <w:r>
        <w:t xml:space="preserve"> — pri reštarte servera sa uzatvoria synchronizácie, ktoré ostali bežiace po páde. Bez toho by blokovali ďalšie spustenia natrvalo.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Resilientné zápisy do databázy</w:t>
      </w:r>
      <w:r>
        <w:t xml:space="preserve"> — kritické stavové záznamy sa zapisujú s exponenciálnym backoffom (3 pokusy, rastúce čakacie doby).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SSRF ochrana</w:t>
      </w:r>
      <w:r>
        <w:t xml:space="preserve"> — útočník by mohol v konfigurácii URL adresovať internú sieť. Implementovaný allowlist povolených hostiteľov.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Audit log</w:t>
      </w:r>
      <w:r>
        <w:t xml:space="preserve"> — každá akcia (prihlásenie, zmena konfigurácie, spustenie syncu, zmazanie) zaznamenaná s timestampom a identitou.</w:t>
      </w:r>
    </w:p>
    <w:p>
      <w:pPr>
        <w:spacing w:after="300"/>
      </w:pPr>
      <w:r>
        <w:t xml:space="preserve"/>
      </w:r>
    </w:p>
    <w:p>
      <w:pPr>
        <w:pStyle w:val="Heading1"/>
        <w:spacing w:after="160" w:before="320"/>
      </w:pPr>
      <w:r>
        <w:t xml:space="preserve">6. Rozsah realizovaného diela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22222" w:color="222222" w:val="solid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Oblasť</w:t>
            </w:r>
          </w:p>
        </w:tc>
        <w:tc>
          <w:tcPr>
            <w:shd w:fill="222222" w:color="222222" w:val="solid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Iterácie / opravy</w:t>
            </w:r>
          </w:p>
        </w:tc>
      </w:tr>
      <w:tr>
        <w:tc>
          <w:tcPr>
            <w:shd w:fill="F5F5F5" w:color="F5F5F5" w:val="solid"/>
          </w:tcPr>
          <w:p>
            <w:r>
              <w:t xml:space="preserve">ONIX pagination (OData + fallback)</w:t>
            </w:r>
          </w:p>
        </w:tc>
        <w:tc>
          <w:tcPr>
            <w:shd w:fill="F5F5F5" w:color="F5F5F5" w:val="solid"/>
          </w:tcPr>
          <w:p>
            <w:pPr>
              <w:jc w:val="center"/>
            </w:pPr>
            <w:r>
              <w:t xml:space="preserve">3 hlavné revízie</w:t>
            </w:r>
          </w:p>
        </w:tc>
      </w:tr>
      <w:tr>
        <w:tc>
          <w:tcPr>
            <w:shd w:fill="FFFFFF" w:color="FFFFFF" w:val="solid"/>
          </w:tcPr>
          <w:p>
            <w:r>
              <w:t xml:space="preserve">CustomColumns podpora</w:t>
            </w:r>
          </w:p>
        </w:tc>
        <w:tc>
          <w:tcPr>
            <w:shd w:fill="FFFFFF" w:color="FFFFFF" w:val="solid"/>
          </w:tcPr>
          <w:p>
            <w:pPr>
              <w:jc w:val="center"/>
            </w:pPr>
            <w:r>
              <w:t xml:space="preserve">2 revízie</w:t>
            </w:r>
          </w:p>
        </w:tc>
      </w:tr>
      <w:tr>
        <w:tc>
          <w:tcPr>
            <w:shd w:fill="F5F5F5" w:color="F5F5F5" w:val="solid"/>
          </w:tcPr>
          <w:p>
            <w:r>
              <w:t xml:space="preserve">RecordExternalIdentificator flow</w:t>
            </w:r>
          </w:p>
        </w:tc>
        <w:tc>
          <w:tcPr>
            <w:shd w:fill="F5F5F5" w:color="F5F5F5" w:val="solid"/>
          </w:tcPr>
          <w:p>
            <w:pPr>
              <w:jc w:val="center"/>
            </w:pPr>
            <w:r>
              <w:t xml:space="preserve">2 revízie</w:t>
            </w:r>
          </w:p>
        </w:tc>
      </w:tr>
      <w:tr>
        <w:tc>
          <w:tcPr>
            <w:shd w:fill="FFFFFF" w:color="FFFFFF" w:val="solid"/>
          </w:tcPr>
          <w:p>
            <w:r>
              <w:t xml:space="preserve">H kód systém (counter + audit + CSV export)</w:t>
            </w:r>
          </w:p>
        </w:tc>
        <w:tc>
          <w:tcPr>
            <w:shd w:fill="FFFFFF" w:color="FFFFFF" w:val="solid"/>
          </w:tcPr>
          <w:p>
            <w:pPr>
              <w:jc w:val="center"/>
            </w:pPr>
            <w:r>
              <w:t xml:space="preserve">4 revízie</w:t>
            </w:r>
          </w:p>
        </w:tc>
      </w:tr>
      <w:tr>
        <w:tc>
          <w:tcPr>
            <w:shd w:fill="F5F5F5" w:color="F5F5F5" w:val="solid"/>
          </w:tcPr>
          <w:p>
            <w:r>
              <w:t xml:space="preserve">Read-only / mandatory field handling</w:t>
            </w:r>
          </w:p>
        </w:tc>
        <w:tc>
          <w:tcPr>
            <w:shd w:fill="F5F5F5" w:color="F5F5F5" w:val="solid"/>
          </w:tcPr>
          <w:p>
            <w:pPr>
              <w:jc w:val="center"/>
            </w:pPr>
            <w:r>
              <w:t xml:space="preserve">1 implementácia</w:t>
            </w:r>
          </w:p>
        </w:tc>
      </w:tr>
      <w:tr>
        <w:tc>
          <w:tcPr>
            <w:shd w:fill="FFFFFF" w:color="FFFFFF" w:val="solid"/>
          </w:tcPr>
          <w:p>
            <w:r>
              <w:t xml:space="preserve">Delta sync (MD5 hash)</w:t>
            </w:r>
          </w:p>
        </w:tc>
        <w:tc>
          <w:tcPr>
            <w:shd w:fill="FFFFFF" w:color="FFFFFF" w:val="solid"/>
          </w:tcPr>
          <w:p>
            <w:pPr>
              <w:jc w:val="center"/>
            </w:pPr>
            <w:r>
              <w:t xml:space="preserve">1 implementácia</w:t>
            </w:r>
          </w:p>
        </w:tc>
      </w:tr>
      <w:tr>
        <w:tc>
          <w:tcPr>
            <w:shd w:fill="F5F5F5" w:color="F5F5F5" w:val="solid"/>
          </w:tcPr>
          <w:p>
            <w:r>
              <w:t xml:space="preserve">Stricker session autentifikácia</w:t>
            </w:r>
          </w:p>
        </w:tc>
        <w:tc>
          <w:tcPr>
            <w:shd w:fill="F5F5F5" w:color="F5F5F5" w:val="solid"/>
          </w:tcPr>
          <w:p>
            <w:pPr>
              <w:jc w:val="center"/>
            </w:pPr>
            <w:r>
              <w:t xml:space="preserve">1 implementácia</w:t>
            </w:r>
          </w:p>
        </w:tc>
      </w:tr>
      <w:tr>
        <w:tc>
          <w:tcPr>
            <w:shd w:fill="FFFFFF" w:color="FFFFFF" w:val="solid"/>
          </w:tcPr>
          <w:p>
            <w:r>
              <w:t xml:space="preserve">UI / UX (responzívnosť, loading stavy)</w:t>
            </w:r>
          </w:p>
        </w:tc>
        <w:tc>
          <w:tcPr>
            <w:shd w:fill="FFFFFF" w:color="FFFFFF" w:val="solid"/>
          </w:tcPr>
          <w:p>
            <w:pPr>
              <w:jc w:val="center"/>
            </w:pPr>
            <w:r>
              <w:t xml:space="preserve">12 menších opráv</w:t>
            </w:r>
          </w:p>
        </w:tc>
      </w:tr>
      <w:tr>
        <w:tc>
          <w:tcPr>
            <w:shd w:fill="F5F5F5" w:color="F5F5F5" w:val="solid"/>
          </w:tcPr>
          <w:p>
            <w:r>
              <w:t xml:space="preserve">Celkový počet verzií (v1.0 → v1.53)</w:t>
            </w:r>
          </w:p>
        </w:tc>
        <w:tc>
          <w:tcPr>
            <w:shd w:fill="F5F5F5" w:color="F5F5F5" w:val="solid"/>
          </w:tcPr>
          <w:p>
            <w:pPr>
              <w:jc w:val="center"/>
            </w:pPr>
            <w:r>
              <w:t xml:space="preserve">53 verzií</w:t>
            </w:r>
          </w:p>
        </w:tc>
      </w:tr>
    </w:tbl>
    <w:p>
      <w:pPr>
        <w:spacing w:after="500"/>
      </w:pPr>
      <w:r>
        <w:t xml:space="preserve"/>
      </w: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Dokument spracovaný na základe zdrojového kódu SyncHub, verzia v1.53.0, máj 2026.</w:t>
      </w: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SEDAJ s.r.o. — interné použitie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SyncHub — Technické výzvy a neštandardné riešenia</dc:title>
  <dc:creator>SyncHub / SEDAJ s.r.o.</dc:creator>
  <cp:lastModifiedBy>Un-named</cp:lastModifiedBy>
  <cp:revision>1</cp:revision>
  <dcterms:created xsi:type="dcterms:W3CDTF">2026-05-26T06:21:17.078Z</dcterms:created>
  <dcterms:modified xsi:type="dcterms:W3CDTF">2026-05-26T06:21:17.078Z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