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1E3A8A"/>
          <w:sz w:val="40"/>
        </w:rPr>
        <w:t>MODO RMC BATCH SHEET RECONCILIATION &amp; MATERIAL CONSUMPTION ENGINE</w:t>
      </w:r>
    </w:p>
    <w:p>
      <w:pPr>
        <w:spacing w:after="360"/>
      </w:pPr>
      <w:r>
        <w:rPr>
          <w:rFonts w:ascii="Arial" w:hAnsi="Arial"/>
          <w:i/>
          <w:color w:val="64748B"/>
          <w:sz w:val="26"/>
        </w:rPr>
        <w:t>Architecture, Plant Drivers &amp; Material Consumption Automation Guide</w:t>
      </w:r>
    </w:p>
    <w:p>
      <w:pPr>
        <w:pStyle w:val="Heading1"/>
        <w:spacing w:before="240" w:after="120"/>
      </w:pPr>
      <w:r>
        <w:t>1. Executive Summary &amp; Objective</w:t>
      </w:r>
    </w:p>
    <w:p>
      <w:pPr>
        <w:spacing w:line="276" w:lineRule="auto" w:after="200"/>
      </w:pPr>
      <w:r>
        <w:t>Ready-Mix Concrete (RMC) operations produce physical and digital autographic batch sheets from disparate batching control systems (e.g. Schwing Stetter EWIG/M1.5, MCI 70, MCI 360). The primary challenge has been the tedious manual entry of batch weights and material consumptions into ERP inventory tables. We have engineered an intelligent, enterprise-grade Batch Sheet Reconciliation Engine that delivers zero-developer plant onboarding, real-time split-screen verification, and automated material consumption reconciliation.</w:t>
      </w:r>
    </w:p>
    <w:p>
      <w:pPr>
        <w:pStyle w:val="Heading1"/>
        <w:spacing w:before="280" w:after="120"/>
      </w:pPr>
      <w:r>
        <w:t>2. Core Focus: Material Consumption Reconciliation</w:t>
      </w:r>
    </w:p>
    <w:p>
      <w:pPr>
        <w:spacing w:after="120"/>
      </w:pPr>
      <w:r>
        <w:t>The engine specifically solves the inventory consumption reconciliation bottleneck using the 'Map Once, Reconcile Automatically Forever' paradigm:</w:t>
      </w:r>
    </w:p>
    <w:p>
      <w:pPr>
        <w:pStyle w:val="ListBullet"/>
      </w:pPr>
      <w:r>
        <w:rPr>
          <w:b/>
        </w:rPr>
        <w:t xml:space="preserve">Map Once per Plant: </w:t>
      </w:r>
      <w:r>
        <w:t>When an operator first uploads a batch sheet from a given plant, they map each sheet label (e.g. MSA1, 12MM, CEM Silo 1, WAT, ADM 1, Silica) to the corresponding ERP Master Product dropdown.</w:t>
      </w:r>
    </w:p>
    <w:p>
      <w:pPr>
        <w:pStyle w:val="ListBullet"/>
      </w:pPr>
      <w:r>
        <w:rPr>
          <w:b/>
        </w:rPr>
        <w:t xml:space="preserve">Permanent Memory: </w:t>
      </w:r>
      <w:r>
        <w:t>Clicking 'Remember Mappings for this Plant' permanently stores the column-to-product mapping in mm_batch_sheet_templates.material_mapping.</w:t>
      </w:r>
    </w:p>
    <w:p>
      <w:pPr>
        <w:pStyle w:val="ListBullet"/>
      </w:pPr>
      <w:r>
        <w:rPr>
          <w:b/>
        </w:rPr>
        <w:t xml:space="preserve">Zero-Click Automation on Future Uploads: </w:t>
      </w:r>
      <w:r>
        <w:t>Every subsequent batch sheet uploaded from that plant automatically resolves 100% of material lines, compares actual vs target weights, checks tolerance, and prepares the consumption entry with zero manual user interaction.</w:t>
      </w:r>
    </w:p>
    <w:p>
      <w:pPr>
        <w:pStyle w:val="ListBullet"/>
      </w:pPr>
      <w:r>
        <w:rPr>
          <w:b/>
        </w:rPr>
        <w:t xml:space="preserve">Atomic Batch Posting: </w:t>
      </w:r>
      <w:r>
        <w:t>Upon clicking 'Approve &amp; Save Batch', the system posts directly to mm_batches and mm_batch_materials, updating actual inventory deductions.</w:t>
      </w:r>
    </w:p>
    <w:p>
      <w:pPr>
        <w:pStyle w:val="Heading1"/>
        <w:spacing w:before="280" w:after="120"/>
      </w:pPr>
      <w:r>
        <w:t>3. Scalable Plant Driver Architecture (1,000+ Plants)</w:t>
      </w:r>
    </w:p>
    <w:p>
      <w:r>
        <w:t>To support 1,000+ distinct plants without central bottlenecks or database seeders, the system uses dynamic file auto-discovery: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1E3A8A"/>
          </w:tcPr>
          <w:p>
            <w:r>
              <w:rPr>
                <w:b/>
                <w:color w:val="FFFFFF"/>
                <w:sz w:val="19"/>
              </w:rPr>
              <w:t>Driver File Name</w:t>
            </w:r>
          </w:p>
        </w:tc>
        <w:tc>
          <w:tcPr>
            <w:tcW w:type="dxa" w:w="2592"/>
            <w:shd w:fill="1E3A8A"/>
          </w:tcPr>
          <w:p>
            <w:r>
              <w:rPr>
                <w:b/>
                <w:color w:val="FFFFFF"/>
                <w:sz w:val="19"/>
              </w:rPr>
              <w:t>Plant / Brand Target</w:t>
            </w:r>
          </w:p>
        </w:tc>
        <w:tc>
          <w:tcPr>
            <w:tcW w:type="dxa" w:w="1440"/>
            <w:shd w:fill="1E3A8A"/>
          </w:tcPr>
          <w:p>
            <w:r>
              <w:rPr>
                <w:b/>
                <w:color w:val="FFFFFF"/>
                <w:sz w:val="19"/>
              </w:rPr>
              <w:t>Mixer Size</w:t>
            </w:r>
          </w:p>
        </w:tc>
        <w:tc>
          <w:tcPr>
            <w:tcW w:type="dxa" w:w="2160"/>
            <w:shd w:fill="1E3A8A"/>
          </w:tcPr>
          <w:p>
            <w:r>
              <w:rPr>
                <w:b/>
                <w:color w:val="FFFFFF"/>
                <w:sz w:val="19"/>
              </w:rPr>
              <w:t>Extraction Pattern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VJMixConcretePlant121Driver.php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V J Mix Concrete (Plant 121 - Schwing M1.5)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1.25 m³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8 Materials, 4 Sub-Runs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PalaniyappaMci70Plant782Driver.php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Palaniyappa Concrete (Plant 782 - MCI 70)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0.50 m³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6 Materials, 15 Sub-Runs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PalaniyappaUdhayamPlant322Driver.php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Palaniyappa / New Udhayam (Plant 322)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2.50 m³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6 Materials, 3 Sub-Runs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SriGaneshaMci360PlantM1TDriver.php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Sri Ganesha Readymix (Plant M1T-187)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1.00 m³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6 Materials, 5 Sub-Runs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DynamicDbPlantDriver.php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Generic Dynamic Database Fallback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Dynamic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Dynamic UI Mapping Template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t>4. Split-Screen Verification &amp; Approval Flow</w:t>
      </w:r>
    </w:p>
    <w:p>
      <w:r>
        <w:t>The UI incorporates a modern, full-width split-screen review modal (BatchSheetReview.vue):</w:t>
      </w:r>
    </w:p>
    <w:p>
      <w:pPr>
        <w:pStyle w:val="ListBullet"/>
      </w:pPr>
      <w:r>
        <w:rPr>
          <w:b/>
        </w:rPr>
        <w:t xml:space="preserve">Left Half (Document Visualizer): </w:t>
      </w:r>
      <w:r>
        <w:t>Renders the exact uploaded PDF in an embedded high-resolution iframe, allowing operators to visually inspect and audit original physical figures.</w:t>
      </w:r>
    </w:p>
    <w:p>
      <w:pPr>
        <w:pStyle w:val="ListBullet"/>
      </w:pPr>
      <w:r>
        <w:rPr>
          <w:b/>
        </w:rPr>
        <w:t xml:space="preserve">Right Half (Material &amp; Header Matrix): </w:t>
      </w:r>
      <w:r>
        <w:t>Displays the auto-extracted headers and interactive Material Consumption table with live target vs actual calculations, variance kg/%, and tolerance badges.</w:t>
      </w:r>
    </w:p>
    <w:p>
      <w:pPr>
        <w:pStyle w:val="ListBullet"/>
      </w:pPr>
      <w:r>
        <w:rPr>
          <w:b/>
        </w:rPr>
        <w:t xml:space="preserve">Load Tolerance Audit: </w:t>
      </w:r>
      <w:r>
        <w:t>Enforces the ±2.0% IS/ASTM batch tolerance standard. Highlights compliant batches in emerald green and flags excessive material deviations in amber.</w:t>
      </w:r>
    </w:p>
    <w:p>
      <w:pPr>
        <w:pStyle w:val="Heading1"/>
        <w:spacing w:before="280" w:after="120"/>
      </w:pPr>
      <w:r>
        <w:t>5. Database Architecture &amp; Data Schema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334155"/>
          </w:tcPr>
          <w:p>
            <w:r>
              <w:rPr>
                <w:b/>
                <w:color w:val="FFFFFF"/>
                <w:sz w:val="19"/>
              </w:rPr>
              <w:t>Table Name</w:t>
            </w:r>
          </w:p>
        </w:tc>
        <w:tc>
          <w:tcPr>
            <w:tcW w:type="dxa" w:w="3168"/>
            <w:shd w:fill="334155"/>
          </w:tcPr>
          <w:p>
            <w:r>
              <w:rPr>
                <w:b/>
                <w:color w:val="FFFFFF"/>
                <w:sz w:val="19"/>
              </w:rPr>
              <w:t>Primary Purpose</w:t>
            </w:r>
          </w:p>
        </w:tc>
        <w:tc>
          <w:tcPr>
            <w:tcW w:type="dxa" w:w="3312"/>
            <w:shd w:fill="334155"/>
          </w:tcPr>
          <w:p>
            <w:r>
              <w:rPr>
                <w:b/>
                <w:color w:val="FFFFFF"/>
                <w:sz w:val="19"/>
              </w:rPr>
              <w:t>Key Columns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mm_batch_sheet_uploads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Staging and audit trail of raw uploads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sha256_hash, status, parsed_json, normalized_json, confidence_score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mm_batch_sheet_templates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Saved plant layouts and material mappings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plant_id, name, field_mapping, material_mapping, is_active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mm_batches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Core production load record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plant_id, batch_no, batch_size, total_target_weight, total_actual_weight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mm_batch_materials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Physical consumption run rows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batch_id, product_id, target_qty, actual_qty, deviation_quantity, runs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t>6. Operational Verification &amp; Testing</w:t>
      </w:r>
    </w:p>
    <w:p>
      <w:r>
        <w:t>The engine is fully verified and running live in development and production environments:</w:t>
      </w:r>
    </w:p>
    <w:p>
      <w:pPr>
        <w:pStyle w:val="ListBullet"/>
      </w:pPr>
      <w:r>
        <w:rPr>
          <w:b/>
        </w:rPr>
        <w:t xml:space="preserve">Web Browser Flow: </w:t>
      </w:r>
      <w:r>
        <w:t>Open http://localhost:8000/batches -&gt; Drop any of the 4 plant PDFs -&gt; Split-screen modal opens -&gt; Verify materials -&gt; Click 'Approve &amp; Save Batch'.</w:t>
      </w:r>
    </w:p>
    <w:p>
      <w:pPr>
        <w:pStyle w:val="ListBullet"/>
      </w:pPr>
      <w:r>
        <w:rPr>
          <w:b/>
        </w:rPr>
        <w:t xml:space="preserve">Automated CLI Suite: </w:t>
      </w:r>
      <w:r>
        <w:t>Run 'php scratch/test_batch_sheet.php' to execute end-to-end regression tests against all plant samples.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