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i w:val="false"/>
          <w:iCs w:val="false"/>
          <w:caps/>
          <w:color w:val="2E5E4E"/>
          <w:spacing w:val="28"/>
          <w:sz w:val="15"/>
          <w:szCs w:val="15"/>
        </w:rPr>
        <w:t xml:space="preserve">RESUME PUNCH LIST   /   WALTON_RESUME_MASTER.DOCX   /   10 SEPTEMBER 2026</w:t>
      </w:r>
    </w:p>
    <w:p>
      <w:pPr>
        <w:pStyle w:val="Heading1"/>
        <w:spacing w:after="160" w:before="60"/>
      </w:pPr>
      <w:r>
        <w:rPr>
          <w:rFonts w:ascii="Georgia" w:cs="Georgia" w:eastAsia="Georgia" w:hAnsi="Georgia"/>
          <w:b w:val="false"/>
          <w:bCs w:val="false"/>
          <w:i w:val="false"/>
          <w:iCs w:val="false"/>
          <w:caps w:val="false"/>
          <w:color w:val="1C1D22"/>
          <w:sz w:val="46"/>
          <w:szCs w:val="46"/>
        </w:rPr>
        <w:t xml:space="preserve">Eight of ten, and three brackets</w:t>
      </w:r>
    </w:p>
    <w:p>
      <w:pPr>
        <w:spacing w:after="200" w:before="0" w:line="300"/>
      </w:pPr>
      <w:r>
        <w:rPr>
          <w:rFonts w:ascii="Calibri" w:cs="Calibri" w:eastAsia="Calibri" w:hAnsi="Calibri"/>
          <w:b w:val="false"/>
          <w:bCs w:val="false"/>
          <w:i w:val="false"/>
          <w:iCs w:val="false"/>
          <w:caps w:val="false"/>
          <w:color w:val="4A4C55"/>
          <w:sz w:val="20"/>
          <w:szCs w:val="20"/>
        </w:rPr>
        <w:t xml:space="preserve">Jeff, this is a review of the rewritten resume against the ten items from the first pass. Eight are done and should not be touched again. Two need one more pass. There are also five smaller things worth deciding on, three of which are questions only you can answer. The list is ordered by how much each one costs you, not by how hard it is to fix.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Fully resolved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E5E4E"/>
                <w:sz w:val="17"/>
                <w:szCs w:val="17"/>
              </w:rPr>
              <w:t xml:space="preserve">8 of 10</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Needs another pass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2</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Blocking send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B03828"/>
                <w:sz w:val="17"/>
                <w:szCs w:val="17"/>
              </w:rPr>
              <w:t xml:space="preserve">1 item</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Questions for you</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3</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Length</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E5E4E"/>
                <w:sz w:val="17"/>
                <w:szCs w:val="17"/>
              </w:rPr>
              <w:t xml:space="preserve">633 words, 13 bullets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Em dash check</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E5E4E"/>
                <w:sz w:val="17"/>
                <w:szCs w:val="17"/>
              </w:rPr>
              <w:t xml:space="preserve">Clean</w:t>
            </w:r>
          </w:p>
        </w:tc>
      </w:tr>
    </w:tbl>
    <w:p>
      <w:pPr>
        <w:pBdr>
          <w:left w:val="single" w:color="DCDCD9" w:sz="10" w:space="14"/>
        </w:pBdr>
        <w:spacing w:after="160" w:before="200"/>
        <w:ind w:left="180"/>
      </w:pPr>
      <w:r>
        <w:rPr>
          <w:rFonts w:ascii="Calibri" w:cs="Calibri" w:eastAsia="Calibri" w:hAnsi="Calibri"/>
          <w:b w:val="false"/>
          <w:bCs w:val="false"/>
          <w:i/>
          <w:iCs/>
          <w:caps w:val="false"/>
          <w:color w:val="85878F"/>
          <w:sz w:val="18"/>
          <w:szCs w:val="18"/>
        </w:rPr>
        <w:t xml:space="preserve">The short version: the rewrite fixed the thing that was actively hurting you, which was the tenure claim. What is left is one proofreading problem that would undo all of it, and a handful of judgment calls.</w:t>
      </w:r>
    </w:p>
    <w:p>
      <w:pPr>
        <w:pBdr>
          <w:bottom w:val="single" w:color="1C1D22"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E5E4E"/>
          <w:spacing w:val="30"/>
          <w:sz w:val="15"/>
          <w:szCs w:val="15"/>
        </w:rPr>
        <w:t xml:space="preserve">Section 1  /  Blocking</w:t>
      </w:r>
    </w:p>
    <w:p>
      <w:pPr>
        <w:pStyle w:val="Heading1"/>
        <w:spacing w:after="160" w:before="0"/>
      </w:pPr>
      <w:r>
        <w:rPr>
          <w:rFonts w:ascii="Georgia" w:cs="Georgia" w:eastAsia="Georgia" w:hAnsi="Georgia"/>
          <w:b w:val="false"/>
          <w:bCs w:val="false"/>
          <w:i w:val="false"/>
          <w:iCs w:val="false"/>
          <w:caps w:val="false"/>
          <w:color w:val="1C1D22"/>
          <w:sz w:val="34"/>
          <w:szCs w:val="34"/>
        </w:rPr>
        <w:t xml:space="preserve">Fix this before the resume goes anywhere</w:t>
      </w:r>
    </w:p>
    <w:p>
      <w:pPr>
        <w:pStyle w:val="Heading2"/>
        <w:pBdr>
          <w:left w:val="single" w:color="B03828" w:sz="18" w:space="10"/>
        </w:pBdr>
        <w:spacing w:after="60" w:before="300"/>
        <w:ind w:left="120"/>
      </w:pPr>
      <w:r>
        <w:rPr>
          <w:rFonts w:ascii="Consolas" w:cs="Consolas" w:eastAsia="Consolas" w:hAnsi="Consolas"/>
          <w:b/>
          <w:bCs/>
          <w:i w:val="false"/>
          <w:iCs w:val="false"/>
          <w:caps w:val="false"/>
          <w:color w:val="B03828"/>
          <w:sz w:val="24"/>
          <w:szCs w:val="24"/>
        </w:rPr>
        <w:t xml:space="preserve">1.  </w:t>
      </w:r>
      <w:r>
        <w:rPr>
          <w:rFonts w:ascii="Georgia" w:cs="Georgia" w:eastAsia="Georgia" w:hAnsi="Georgia"/>
          <w:b w:val="false"/>
          <w:bCs w:val="false"/>
          <w:i w:val="false"/>
          <w:iCs w:val="false"/>
          <w:caps w:val="false"/>
          <w:color w:val="1C1D22"/>
          <w:sz w:val="24"/>
          <w:szCs w:val="24"/>
        </w:rPr>
        <w:t xml:space="preserve">Three placeholders are still in the document</w:t>
      </w:r>
    </w:p>
    <w:p>
      <w:pPr>
        <w:pBdr>
          <w:left w:val="single" w:color="B03828" w:sz="18" w:space="10"/>
        </w:pBdr>
        <w:spacing w:after="140"/>
        <w:ind w:left="120"/>
      </w:pPr>
      <w:r>
        <w:rPr>
          <w:rFonts w:ascii="Consolas" w:cs="Consolas" w:eastAsia="Consolas" w:hAnsi="Consolas"/>
          <w:b/>
          <w:bCs/>
          <w:i w:val="false"/>
          <w:iCs w:val="false"/>
          <w:caps w:val="false"/>
          <w:color w:val="B03828"/>
          <w:spacing w:val="26"/>
          <w:sz w:val="13"/>
          <w:szCs w:val="13"/>
        </w:rPr>
        <w:t xml:space="preserve">BLOCKING</w:t>
      </w:r>
    </w:p>
    <w:p>
      <w:pPr>
        <w:spacing w:after="40"/>
      </w:pPr>
      <w:r>
        <w:rPr>
          <w:rFonts w:ascii="Consolas" w:cs="Consolas" w:eastAsia="Consolas" w:hAnsi="Consolas"/>
          <w:b/>
          <w:bCs/>
          <w:i w:val="false"/>
          <w:iCs w:val="false"/>
          <w:caps w:val="false"/>
          <w:color w:val="85878F"/>
          <w:spacing w:val="24"/>
          <w:sz w:val="12"/>
          <w:szCs w:val="12"/>
        </w:rPr>
        <w:t xml:space="preserve">CURRENTLY READS</w:t>
      </w:r>
    </w:p>
    <w:p>
      <w:pPr>
        <w:pBdr>
          <w:left w:val="single" w:color="85878F" w:sz="14" w:space="12"/>
        </w:pBdr>
        <w:shd w:fill="F4F4F2" w:color="auto" w:val="clear"/>
        <w:spacing w:after="140" w:line="300"/>
        <w:ind w:left="160"/>
      </w:pPr>
      <w:r>
        <w:rPr>
          <w:rFonts w:ascii="Consolas" w:cs="Consolas" w:eastAsia="Consolas" w:hAnsi="Consolas"/>
          <w:b w:val="false"/>
          <w:bCs w:val="false"/>
          <w:i w:val="false"/>
          <w:iCs w:val="false"/>
          <w:caps w:val="false"/>
          <w:color w:val="4A4C55"/>
          <w:sz w:val="16"/>
          <w:szCs w:val="16"/>
        </w:rPr>
        <w:t xml:space="preserve">...applied across [X] internal and client-facing assets.
...producing [X] modules so that every consultant delivers the same onboarding...
...for non-technical SMB and SLED decision makers, including [C-suite and agency leadership].</w:t>
      </w:r>
    </w:p>
    <w:p>
      <w:pPr>
        <w:spacing w:after="140" w:before="0" w:line="300"/>
      </w:pPr>
      <w:r>
        <w:rPr>
          <w:rFonts w:ascii="Calibri" w:cs="Calibri" w:eastAsia="Calibri" w:hAnsi="Calibri"/>
          <w:b w:val="false"/>
          <w:bCs w:val="false"/>
          <w:i w:val="false"/>
          <w:iCs w:val="false"/>
          <w:caps w:val="false"/>
          <w:color w:val="4A4C55"/>
          <w:sz w:val="20"/>
          <w:szCs w:val="20"/>
        </w:rPr>
        <w:t xml:space="preserve">All three are in the CyReaux block, which is the first thing a recruiter reads after the summary. As it stands this is worse than the original version. An original with thin bullets reads as a modest track record. A resume with literal bracket placeholders reads as someone who did not proofread the document they are asking to be hired on, and that is an immediate discard at screen. Everything else on this list is optional next to this one.</w:t>
      </w:r>
    </w:p>
    <w:p>
      <w:pPr>
        <w:pBdr>
          <w:left w:val="single" w:color="2E5E4E" w:sz="14" w:space="12"/>
        </w:pBdr>
        <w:shd w:fill="E9F0EC" w:color="auto" w:val="clear"/>
        <w:spacing w:after="220" w:line="300"/>
        <w:ind w:left="160"/>
      </w:pPr>
      <w:r>
        <w:rPr>
          <w:rFonts w:ascii="Consolas" w:cs="Consolas" w:eastAsia="Consolas" w:hAnsi="Consolas"/>
          <w:b/>
          <w:bCs/>
          <w:i w:val="false"/>
          <w:iCs w:val="false"/>
          <w:caps w:val="false"/>
          <w:color w:val="2E5E4E"/>
          <w:spacing w:val="24"/>
          <w:sz w:val="12"/>
          <w:szCs w:val="12"/>
        </w:rPr>
        <w:t xml:space="preserve">ACTION   </w:t>
      </w:r>
      <w:r>
        <w:rPr>
          <w:rFonts w:ascii="Calibri" w:cs="Calibri" w:eastAsia="Calibri" w:hAnsi="Calibri"/>
          <w:b w:val="false"/>
          <w:bCs w:val="false"/>
          <w:i w:val="false"/>
          <w:iCs w:val="false"/>
          <w:caps w:val="false"/>
          <w:color w:val="1C1D22"/>
          <w:sz w:val="19"/>
          <w:szCs w:val="19"/>
        </w:rPr>
        <w:t xml:space="preserve">Supply two real numbers and make one decision. If the asset count is genuinely small, write the small number: six templates beats a bracket and beats a vague adjective. Same for modules. The third bracket is not a number at all, it looks like a note to yourself about who to name, so either name the audience plainly (agency directors, IT leadership, superintendents, whatever it actually was) or cut the clause and end the bullet at decision makers.</w:t>
      </w:r>
    </w:p>
    <w:p>
      <w:pPr>
        <w:pBdr>
          <w:bottom w:val="single" w:color="1C1D22"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E5E4E"/>
          <w:spacing w:val="30"/>
          <w:sz w:val="15"/>
          <w:szCs w:val="15"/>
        </w:rPr>
        <w:t xml:space="preserve">Section 2  /  Partially resolved</w:t>
      </w:r>
    </w:p>
    <w:p>
      <w:pPr>
        <w:pStyle w:val="Heading1"/>
        <w:spacing w:after="160" w:before="0"/>
      </w:pPr>
      <w:r>
        <w:rPr>
          <w:rFonts w:ascii="Georgia" w:cs="Georgia" w:eastAsia="Georgia" w:hAnsi="Georgia"/>
          <w:b w:val="false"/>
          <w:bCs w:val="false"/>
          <w:i w:val="false"/>
          <w:iCs w:val="false"/>
          <w:caps w:val="false"/>
          <w:color w:val="1C1D22"/>
          <w:sz w:val="34"/>
          <w:szCs w:val="34"/>
        </w:rPr>
        <w:t xml:space="preserve">Two that need one more pass</w:t>
      </w:r>
    </w:p>
    <w:p>
      <w:pPr>
        <w:pStyle w:val="Heading2"/>
        <w:pBdr>
          <w:left w:val="single" w:color="8A6A1E" w:sz="18" w:space="10"/>
        </w:pBdr>
        <w:spacing w:after="60" w:before="300"/>
        <w:ind w:left="120"/>
      </w:pPr>
      <w:r>
        <w:rPr>
          <w:rFonts w:ascii="Consolas" w:cs="Consolas" w:eastAsia="Consolas" w:hAnsi="Consolas"/>
          <w:b/>
          <w:bCs/>
          <w:i w:val="false"/>
          <w:iCs w:val="false"/>
          <w:caps w:val="false"/>
          <w:color w:val="8A6A1E"/>
          <w:sz w:val="24"/>
          <w:szCs w:val="24"/>
        </w:rPr>
        <w:t xml:space="preserve">2.  </w:t>
      </w:r>
      <w:r>
        <w:rPr>
          <w:rFonts w:ascii="Georgia" w:cs="Georgia" w:eastAsia="Georgia" w:hAnsi="Georgia"/>
          <w:b w:val="false"/>
          <w:bCs w:val="false"/>
          <w:i w:val="false"/>
          <w:iCs w:val="false"/>
          <w:caps w:val="false"/>
          <w:color w:val="1C1D22"/>
          <w:sz w:val="24"/>
          <w:szCs w:val="24"/>
        </w:rPr>
        <w:t xml:space="preserve">The denominator is softer than it needs to be</w:t>
      </w:r>
    </w:p>
    <w:p>
      <w:pPr>
        <w:pBdr>
          <w:left w:val="single" w:color="8A6A1E" w:sz="18" w:space="10"/>
        </w:pBdr>
        <w:spacing w:after="140"/>
        <w:ind w:left="120"/>
      </w:pPr>
      <w:r>
        <w:rPr>
          <w:rFonts w:ascii="Consolas" w:cs="Consolas" w:eastAsia="Consolas" w:hAnsi="Consolas"/>
          <w:b/>
          <w:bCs/>
          <w:i w:val="false"/>
          <w:iCs w:val="false"/>
          <w:caps w:val="false"/>
          <w:color w:val="8A6A1E"/>
          <w:spacing w:val="26"/>
          <w:sz w:val="13"/>
          <w:szCs w:val="13"/>
        </w:rPr>
        <w:t xml:space="preserve">TIGHTEN</w:t>
      </w:r>
    </w:p>
    <w:p>
      <w:pPr>
        <w:spacing w:after="40"/>
      </w:pPr>
      <w:r>
        <w:rPr>
          <w:rFonts w:ascii="Consolas" w:cs="Consolas" w:eastAsia="Consolas" w:hAnsi="Consolas"/>
          <w:b/>
          <w:bCs/>
          <w:i w:val="false"/>
          <w:iCs w:val="false"/>
          <w:caps w:val="false"/>
          <w:color w:val="85878F"/>
          <w:spacing w:val="24"/>
          <w:sz w:val="12"/>
          <w:szCs w:val="12"/>
        </w:rPr>
        <w:t xml:space="preserve">CURRENTLY READS</w:t>
      </w:r>
    </w:p>
    <w:p>
      <w:pPr>
        <w:pBdr>
          <w:left w:val="single" w:color="85878F" w:sz="14" w:space="12"/>
        </w:pBdr>
        <w:shd w:fill="F4F4F2" w:color="auto" w:val="clear"/>
        <w:spacing w:after="140" w:line="300"/>
        <w:ind w:left="160"/>
      </w:pPr>
      <w:r>
        <w:rPr>
          <w:rFonts w:ascii="Consolas" w:cs="Consolas" w:eastAsia="Consolas" w:hAnsi="Consolas"/>
          <w:b w:val="false"/>
          <w:bCs w:val="false"/>
          <w:i w:val="false"/>
          <w:iCs w:val="false"/>
          <w:caps w:val="false"/>
          <w:color w:val="4A4C55"/>
          <w:sz w:val="16"/>
          <w:szCs w:val="16"/>
        </w:rPr>
        <w:t xml:space="preserve">...reaching 90% customer retention and an 88% enablement rate across hundreds of customers...</w:t>
      </w:r>
    </w:p>
    <w:p>
      <w:pPr>
        <w:spacing w:after="140" w:before="0" w:line="300"/>
      </w:pPr>
      <w:r>
        <w:rPr>
          <w:rFonts w:ascii="Calibri" w:cs="Calibri" w:eastAsia="Calibri" w:hAnsi="Calibri"/>
          <w:b w:val="false"/>
          <w:bCs w:val="false"/>
          <w:i w:val="false"/>
          <w:iCs w:val="false"/>
          <w:caps w:val="false"/>
          <w:color w:val="4A4C55"/>
          <w:sz w:val="20"/>
          <w:szCs w:val="20"/>
        </w:rPr>
        <w:t xml:space="preserve">Adding hundreds of customers is a real improvement over a bare percentage, and it is the right instinct. But hundreds is a soft denominator and a reader still cannot size the program. A precise figure converts the whole line from a claim into evidence, and you have one: accounts onboarded, or the split between direct enterprise accounts and MSP partners.</w:t>
      </w:r>
    </w:p>
    <w:p>
      <w:pPr>
        <w:pBdr>
          <w:left w:val="single" w:color="2E5E4E" w:sz="14" w:space="12"/>
        </w:pBdr>
        <w:shd w:fill="E9F0EC" w:color="auto" w:val="clear"/>
        <w:spacing w:after="220" w:line="300"/>
        <w:ind w:left="160"/>
      </w:pPr>
      <w:r>
        <w:rPr>
          <w:rFonts w:ascii="Consolas" w:cs="Consolas" w:eastAsia="Consolas" w:hAnsi="Consolas"/>
          <w:b/>
          <w:bCs/>
          <w:i w:val="false"/>
          <w:iCs w:val="false"/>
          <w:caps w:val="false"/>
          <w:color w:val="2E5E4E"/>
          <w:spacing w:val="24"/>
          <w:sz w:val="12"/>
          <w:szCs w:val="12"/>
        </w:rPr>
        <w:t xml:space="preserve">ACTION   </w:t>
      </w:r>
      <w:r>
        <w:rPr>
          <w:rFonts w:ascii="Calibri" w:cs="Calibri" w:eastAsia="Calibri" w:hAnsi="Calibri"/>
          <w:b w:val="false"/>
          <w:bCs w:val="false"/>
          <w:i w:val="false"/>
          <w:iCs w:val="false"/>
          <w:caps w:val="false"/>
          <w:color w:val="1C1D22"/>
          <w:sz w:val="19"/>
          <w:szCs w:val="19"/>
        </w:rPr>
        <w:t xml:space="preserve">Replace hundreds with the real count if you can retrieve it. Something shaped like 400 direct accounts and 180 MSP partners is far stronger. If the number genuinely is in the low hundreds, say the actual figure rather than the adjective. Do not round upward to make it sound better, because the whole point of this rewrite was that numbers which do not survive scrutiny cost more than they earn.</w:t>
      </w:r>
    </w:p>
    <w:p>
      <w:pPr>
        <w:pStyle w:val="Heading2"/>
        <w:pBdr>
          <w:left w:val="single" w:color="8A6A1E" w:sz="18" w:space="10"/>
        </w:pBdr>
        <w:spacing w:after="60" w:before="300"/>
        <w:ind w:left="120"/>
      </w:pPr>
      <w:r>
        <w:rPr>
          <w:rFonts w:ascii="Consolas" w:cs="Consolas" w:eastAsia="Consolas" w:hAnsi="Consolas"/>
          <w:b/>
          <w:bCs/>
          <w:i w:val="false"/>
          <w:iCs w:val="false"/>
          <w:caps w:val="false"/>
          <w:color w:val="8A6A1E"/>
          <w:sz w:val="24"/>
          <w:szCs w:val="24"/>
        </w:rPr>
        <w:t xml:space="preserve">3.  </w:t>
      </w:r>
      <w:r>
        <w:rPr>
          <w:rFonts w:ascii="Georgia" w:cs="Georgia" w:eastAsia="Georgia" w:hAnsi="Georgia"/>
          <w:b w:val="false"/>
          <w:bCs w:val="false"/>
          <w:i w:val="false"/>
          <w:iCs w:val="false"/>
          <w:caps w:val="false"/>
          <w:color w:val="1C1D22"/>
          <w:sz w:val="24"/>
          <w:szCs w:val="24"/>
        </w:rPr>
        <w:t xml:space="preserve">The current role is half fixed</w:t>
      </w:r>
    </w:p>
    <w:p>
      <w:pPr>
        <w:pBdr>
          <w:left w:val="single" w:color="8A6A1E" w:sz="18" w:space="10"/>
        </w:pBdr>
        <w:spacing w:after="140"/>
        <w:ind w:left="120"/>
      </w:pPr>
      <w:r>
        <w:rPr>
          <w:rFonts w:ascii="Consolas" w:cs="Consolas" w:eastAsia="Consolas" w:hAnsi="Consolas"/>
          <w:b/>
          <w:bCs/>
          <w:i w:val="false"/>
          <w:iCs w:val="false"/>
          <w:caps w:val="false"/>
          <w:color w:val="8A6A1E"/>
          <w:spacing w:val="26"/>
          <w:sz w:val="13"/>
          <w:szCs w:val="13"/>
        </w:rPr>
        <w:t xml:space="preserve">TIGHTEN</w:t>
      </w:r>
    </w:p>
    <w:p>
      <w:pPr>
        <w:spacing w:after="140" w:before="0" w:line="300"/>
      </w:pPr>
      <w:r>
        <w:rPr>
          <w:rFonts w:ascii="Calibri" w:cs="Calibri" w:eastAsia="Calibri" w:hAnsi="Calibri"/>
          <w:b w:val="false"/>
          <w:bCs w:val="false"/>
          <w:i w:val="false"/>
          <w:iCs w:val="false"/>
          <w:caps w:val="false"/>
          <w:color w:val="4A4C55"/>
          <w:sz w:val="20"/>
          <w:szCs w:val="20"/>
        </w:rPr>
        <w:t xml:space="preserve">The tense problem is solved. The bullets now read Defined and documented, Built, Translated, rather than the earlier run of Working, Developing, Creating, and that was half the issue. The other half was that the bullets had no outcomes in them, and they still do not until the brackets in item one are filled. This item closes automatically once item one is done, so treat them as one job.</w:t>
      </w:r>
    </w:p>
    <w:p>
      <w:pPr>
        <w:pBdr>
          <w:left w:val="single" w:color="2E5E4E" w:sz="14" w:space="12"/>
        </w:pBdr>
        <w:shd w:fill="E9F0EC" w:color="auto" w:val="clear"/>
        <w:spacing w:after="220" w:line="300"/>
        <w:ind w:left="160"/>
      </w:pPr>
      <w:r>
        <w:rPr>
          <w:rFonts w:ascii="Consolas" w:cs="Consolas" w:eastAsia="Consolas" w:hAnsi="Consolas"/>
          <w:b/>
          <w:bCs/>
          <w:i w:val="false"/>
          <w:iCs w:val="false"/>
          <w:caps w:val="false"/>
          <w:color w:val="2E5E4E"/>
          <w:spacing w:val="24"/>
          <w:sz w:val="12"/>
          <w:szCs w:val="12"/>
        </w:rPr>
        <w:t xml:space="preserve">ACTION   </w:t>
      </w:r>
      <w:r>
        <w:rPr>
          <w:rFonts w:ascii="Calibri" w:cs="Calibri" w:eastAsia="Calibri" w:hAnsi="Calibri"/>
          <w:b w:val="false"/>
          <w:bCs w:val="false"/>
          <w:i w:val="false"/>
          <w:iCs w:val="false"/>
          <w:caps w:val="false"/>
          <w:color w:val="1C1D22"/>
          <w:sz w:val="19"/>
          <w:szCs w:val="19"/>
        </w:rPr>
        <w:t xml:space="preserve">No separate work. Filling the brackets in item one resolves this.</w:t>
      </w:r>
    </w:p>
    <w:p>
      <w:pPr>
        <w:pBdr>
          <w:bottom w:val="single" w:color="1C1D22"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E5E4E"/>
          <w:spacing w:val="30"/>
          <w:sz w:val="15"/>
          <w:szCs w:val="15"/>
        </w:rPr>
        <w:t xml:space="preserve">Section 3  /  Decide these</w:t>
      </w:r>
    </w:p>
    <w:p>
      <w:pPr>
        <w:pStyle w:val="Heading1"/>
        <w:spacing w:after="160" w:before="0"/>
      </w:pPr>
      <w:r>
        <w:rPr>
          <w:rFonts w:ascii="Georgia" w:cs="Georgia" w:eastAsia="Georgia" w:hAnsi="Georgia"/>
          <w:b w:val="false"/>
          <w:bCs w:val="false"/>
          <w:i w:val="false"/>
          <w:iCs w:val="false"/>
          <w:caps w:val="false"/>
          <w:color w:val="1C1D22"/>
          <w:sz w:val="34"/>
          <w:szCs w:val="34"/>
        </w:rPr>
        <w:t xml:space="preserve">Five smaller items, three of them questions</w:t>
      </w:r>
    </w:p>
    <w:p>
      <w:pPr>
        <w:pStyle w:val="Heading2"/>
        <w:pBdr>
          <w:left w:val="single" w:color="8A6A1E" w:sz="18" w:space="10"/>
        </w:pBdr>
        <w:spacing w:after="60" w:before="300"/>
        <w:ind w:left="120"/>
      </w:pPr>
      <w:r>
        <w:rPr>
          <w:rFonts w:ascii="Consolas" w:cs="Consolas" w:eastAsia="Consolas" w:hAnsi="Consolas"/>
          <w:b/>
          <w:bCs/>
          <w:i w:val="false"/>
          <w:iCs w:val="false"/>
          <w:caps w:val="false"/>
          <w:color w:val="8A6A1E"/>
          <w:sz w:val="24"/>
          <w:szCs w:val="24"/>
        </w:rPr>
        <w:t xml:space="preserve">4.  </w:t>
      </w:r>
      <w:r>
        <w:rPr>
          <w:rFonts w:ascii="Georgia" w:cs="Georgia" w:eastAsia="Georgia" w:hAnsi="Georgia"/>
          <w:b w:val="false"/>
          <w:bCs w:val="false"/>
          <w:i w:val="false"/>
          <w:iCs w:val="false"/>
          <w:caps w:val="false"/>
          <w:color w:val="1C1D22"/>
          <w:sz w:val="24"/>
          <w:szCs w:val="24"/>
        </w:rPr>
        <w:t xml:space="preserve">Two years of results inside a four year role</w:t>
      </w:r>
    </w:p>
    <w:p>
      <w:pPr>
        <w:pBdr>
          <w:left w:val="single" w:color="8A6A1E" w:sz="18" w:space="10"/>
        </w:pBdr>
        <w:spacing w:after="140"/>
        <w:ind w:left="120"/>
      </w:pPr>
      <w:r>
        <w:rPr>
          <w:rFonts w:ascii="Consolas" w:cs="Consolas" w:eastAsia="Consolas" w:hAnsi="Consolas"/>
          <w:b/>
          <w:bCs/>
          <w:i w:val="false"/>
          <w:iCs w:val="false"/>
          <w:caps w:val="false"/>
          <w:color w:val="8A6A1E"/>
          <w:spacing w:val="26"/>
          <w:sz w:val="13"/>
          <w:szCs w:val="13"/>
        </w:rPr>
        <w:t xml:space="preserve">TIGHTEN</w:t>
      </w:r>
    </w:p>
    <w:p>
      <w:pPr>
        <w:spacing w:after="40"/>
      </w:pPr>
      <w:r>
        <w:rPr>
          <w:rFonts w:ascii="Consolas" w:cs="Consolas" w:eastAsia="Consolas" w:hAnsi="Consolas"/>
          <w:b/>
          <w:bCs/>
          <w:i w:val="false"/>
          <w:iCs w:val="false"/>
          <w:caps w:val="false"/>
          <w:color w:val="85878F"/>
          <w:spacing w:val="24"/>
          <w:sz w:val="12"/>
          <w:szCs w:val="12"/>
        </w:rPr>
        <w:t xml:space="preserve">CURRENTLY READS</w:t>
      </w:r>
    </w:p>
    <w:p>
      <w:pPr>
        <w:pBdr>
          <w:left w:val="single" w:color="85878F" w:sz="14" w:space="12"/>
        </w:pBdr>
        <w:shd w:fill="F4F4F2" w:color="auto" w:val="clear"/>
        <w:spacing w:after="140" w:line="300"/>
        <w:ind w:left="160"/>
      </w:pPr>
      <w:r>
        <w:rPr>
          <w:rFonts w:ascii="Consolas" w:cs="Consolas" w:eastAsia="Consolas" w:hAnsi="Consolas"/>
          <w:b w:val="false"/>
          <w:bCs w:val="false"/>
          <w:i w:val="false"/>
          <w:iCs w:val="false"/>
          <w:caps w:val="false"/>
          <w:color w:val="4A4C55"/>
          <w:sz w:val="16"/>
          <w:szCs w:val="16"/>
        </w:rPr>
        <w:t xml:space="preserve">Built and led the global MSS onboarding program end to end, sustaining 90% customer retention and an 88% enablement rate across hundreds of customers over two years.</w:t>
      </w:r>
    </w:p>
    <w:p>
      <w:pPr>
        <w:spacing w:after="140" w:before="0" w:line="300"/>
      </w:pPr>
      <w:r>
        <w:rPr>
          <w:rFonts w:ascii="Calibri" w:cs="Calibri" w:eastAsia="Calibri" w:hAnsi="Calibri"/>
          <w:b w:val="false"/>
          <w:bCs w:val="false"/>
          <w:i w:val="false"/>
          <w:iCs w:val="false"/>
          <w:caps w:val="false"/>
          <w:color w:val="4A4C55"/>
          <w:sz w:val="20"/>
          <w:szCs w:val="20"/>
        </w:rPr>
        <w:t xml:space="preserve">The role runs 2021 to 2025. The metric is scoped to two years. When the tenure was buried nobody would have noticed, but the summary now states five years up front, which is the right call and also makes this mismatch visible. A careful reader asks why a four year role only reports two years of results, and the honest answer is probably just that the measurement window was two years.</w:t>
      </w:r>
    </w:p>
    <w:p>
      <w:pPr>
        <w:pBdr>
          <w:left w:val="single" w:color="2E5E4E" w:sz="14" w:space="12"/>
        </w:pBdr>
        <w:shd w:fill="E9F0EC" w:color="auto" w:val="clear"/>
        <w:spacing w:after="220" w:line="300"/>
        <w:ind w:left="160"/>
      </w:pPr>
      <w:r>
        <w:rPr>
          <w:rFonts w:ascii="Consolas" w:cs="Consolas" w:eastAsia="Consolas" w:hAnsi="Consolas"/>
          <w:b/>
          <w:bCs/>
          <w:i w:val="false"/>
          <w:iCs w:val="false"/>
          <w:caps w:val="false"/>
          <w:color w:val="2E5E4E"/>
          <w:spacing w:val="24"/>
          <w:sz w:val="12"/>
          <w:szCs w:val="12"/>
        </w:rPr>
        <w:t xml:space="preserve">ACTION   </w:t>
      </w:r>
      <w:r>
        <w:rPr>
          <w:rFonts w:ascii="Calibri" w:cs="Calibri" w:eastAsia="Calibri" w:hAnsi="Calibri"/>
          <w:b w:val="false"/>
          <w:bCs w:val="false"/>
          <w:i w:val="false"/>
          <w:iCs w:val="false"/>
          <w:caps w:val="false"/>
          <w:color w:val="1C1D22"/>
          <w:sz w:val="19"/>
          <w:szCs w:val="19"/>
        </w:rPr>
        <w:t xml:space="preserve">Either extend the window if the numbers held across the full run, or drop the phrase over two years and let it read as the program's standing performance.</w:t>
      </w:r>
    </w:p>
    <w:p>
      <w:pPr>
        <w:pStyle w:val="Heading2"/>
        <w:pBdr>
          <w:left w:val="single" w:color="8A6A1E" w:sz="18" w:space="10"/>
        </w:pBdr>
        <w:spacing w:after="60" w:before="300"/>
        <w:ind w:left="120"/>
      </w:pPr>
      <w:r>
        <w:rPr>
          <w:rFonts w:ascii="Consolas" w:cs="Consolas" w:eastAsia="Consolas" w:hAnsi="Consolas"/>
          <w:b/>
          <w:bCs/>
          <w:i w:val="false"/>
          <w:iCs w:val="false"/>
          <w:caps w:val="false"/>
          <w:color w:val="8A6A1E"/>
          <w:sz w:val="24"/>
          <w:szCs w:val="24"/>
        </w:rPr>
        <w:t xml:space="preserve">5.  </w:t>
      </w:r>
      <w:r>
        <w:rPr>
          <w:rFonts w:ascii="Georgia" w:cs="Georgia" w:eastAsia="Georgia" w:hAnsi="Georgia"/>
          <w:b w:val="false"/>
          <w:bCs w:val="false"/>
          <w:i w:val="false"/>
          <w:iCs w:val="false"/>
          <w:caps w:val="false"/>
          <w:color w:val="1C1D22"/>
          <w:sz w:val="24"/>
          <w:szCs w:val="24"/>
        </w:rPr>
        <w:t xml:space="preserve">No months on any date</w:t>
      </w:r>
    </w:p>
    <w:p>
      <w:pPr>
        <w:pBdr>
          <w:left w:val="single" w:color="8A6A1E" w:sz="18" w:space="10"/>
        </w:pBdr>
        <w:spacing w:after="140"/>
        <w:ind w:left="120"/>
      </w:pPr>
      <w:r>
        <w:rPr>
          <w:rFonts w:ascii="Consolas" w:cs="Consolas" w:eastAsia="Consolas" w:hAnsi="Consolas"/>
          <w:b/>
          <w:bCs/>
          <w:i w:val="false"/>
          <w:iCs w:val="false"/>
          <w:caps w:val="false"/>
          <w:color w:val="8A6A1E"/>
          <w:spacing w:val="26"/>
          <w:sz w:val="13"/>
          <w:szCs w:val="13"/>
        </w:rPr>
        <w:t xml:space="preserve">TIGHTEN</w:t>
      </w:r>
    </w:p>
    <w:p>
      <w:pPr>
        <w:spacing w:after="40"/>
      </w:pPr>
      <w:r>
        <w:rPr>
          <w:rFonts w:ascii="Consolas" w:cs="Consolas" w:eastAsia="Consolas" w:hAnsi="Consolas"/>
          <w:b/>
          <w:bCs/>
          <w:i w:val="false"/>
          <w:iCs w:val="false"/>
          <w:caps w:val="false"/>
          <w:color w:val="85878F"/>
          <w:spacing w:val="24"/>
          <w:sz w:val="12"/>
          <w:szCs w:val="12"/>
        </w:rPr>
        <w:t xml:space="preserve">CURRENTLY READS</w:t>
      </w:r>
    </w:p>
    <w:p>
      <w:pPr>
        <w:pBdr>
          <w:left w:val="single" w:color="85878F" w:sz="14" w:space="12"/>
        </w:pBdr>
        <w:shd w:fill="F4F4F2" w:color="auto" w:val="clear"/>
        <w:spacing w:after="140" w:line="300"/>
        <w:ind w:left="160"/>
      </w:pPr>
      <w:r>
        <w:rPr>
          <w:rFonts w:ascii="Consolas" w:cs="Consolas" w:eastAsia="Consolas" w:hAnsi="Consolas"/>
          <w:b w:val="false"/>
          <w:bCs w:val="false"/>
          <w:i w:val="false"/>
          <w:iCs w:val="false"/>
          <w:caps w:val="false"/>
          <w:color w:val="4A4C55"/>
          <w:sz w:val="16"/>
          <w:szCs w:val="16"/>
        </w:rPr>
        <w:t xml:space="preserve">CyReaux  |  2025 - Present          Malwarebytes, Inc.  |  2021 - 2025</w:t>
      </w:r>
    </w:p>
    <w:p>
      <w:pPr>
        <w:spacing w:after="140" w:before="0" w:line="300"/>
      </w:pPr>
      <w:r>
        <w:rPr>
          <w:rFonts w:ascii="Calibri" w:cs="Calibri" w:eastAsia="Calibri" w:hAnsi="Calibri"/>
          <w:b w:val="false"/>
          <w:bCs w:val="false"/>
          <w:i w:val="false"/>
          <w:iCs w:val="false"/>
          <w:caps w:val="false"/>
          <w:color w:val="4A4C55"/>
          <w:sz w:val="20"/>
          <w:szCs w:val="20"/>
        </w:rPr>
        <w:t xml:space="preserve">Two adjacent roles both touching 2025 invites a question about whether there is a gap between them. There probably is not, but the reader cannot tell, and applicant tracking systems parse month and year more reliably than year alone.</w:t>
      </w:r>
    </w:p>
    <w:p>
      <w:pPr>
        <w:pBdr>
          <w:left w:val="single" w:color="2E5E4E" w:sz="14" w:space="12"/>
        </w:pBdr>
        <w:shd w:fill="E9F0EC" w:color="auto" w:val="clear"/>
        <w:spacing w:after="220" w:line="300"/>
        <w:ind w:left="160"/>
      </w:pPr>
      <w:r>
        <w:rPr>
          <w:rFonts w:ascii="Consolas" w:cs="Consolas" w:eastAsia="Consolas" w:hAnsi="Consolas"/>
          <w:b/>
          <w:bCs/>
          <w:i w:val="false"/>
          <w:iCs w:val="false"/>
          <w:caps w:val="false"/>
          <w:color w:val="2E5E4E"/>
          <w:spacing w:val="24"/>
          <w:sz w:val="12"/>
          <w:szCs w:val="12"/>
        </w:rPr>
        <w:t xml:space="preserve">ACTION   </w:t>
      </w:r>
      <w:r>
        <w:rPr>
          <w:rFonts w:ascii="Calibri" w:cs="Calibri" w:eastAsia="Calibri" w:hAnsi="Calibri"/>
          <w:b w:val="false"/>
          <w:bCs w:val="false"/>
          <w:i w:val="false"/>
          <w:iCs w:val="false"/>
          <w:caps w:val="false"/>
          <w:color w:val="1C1D22"/>
          <w:sz w:val="19"/>
          <w:szCs w:val="19"/>
        </w:rPr>
        <w:t xml:space="preserve">Add months to all three roles. It costs nothing and closes the question before anyone asks it.</w:t>
      </w:r>
    </w:p>
    <w:p>
      <w:pPr>
        <w:pStyle w:val="Heading2"/>
        <w:pBdr>
          <w:left w:val="single" w:color="85878F" w:sz="18" w:space="10"/>
        </w:pBdr>
        <w:spacing w:after="60" w:before="300"/>
        <w:ind w:left="120"/>
      </w:pPr>
      <w:r>
        <w:rPr>
          <w:rFonts w:ascii="Consolas" w:cs="Consolas" w:eastAsia="Consolas" w:hAnsi="Consolas"/>
          <w:b/>
          <w:bCs/>
          <w:i w:val="false"/>
          <w:iCs w:val="false"/>
          <w:caps w:val="false"/>
          <w:color w:val="85878F"/>
          <w:sz w:val="24"/>
          <w:szCs w:val="24"/>
        </w:rPr>
        <w:t xml:space="preserve">6.  </w:t>
      </w:r>
      <w:r>
        <w:rPr>
          <w:rFonts w:ascii="Georgia" w:cs="Georgia" w:eastAsia="Georgia" w:hAnsi="Georgia"/>
          <w:b w:val="false"/>
          <w:bCs w:val="false"/>
          <w:i w:val="false"/>
          <w:iCs w:val="false"/>
          <w:caps w:val="false"/>
          <w:color w:val="1C1D22"/>
          <w:sz w:val="24"/>
          <w:szCs w:val="24"/>
        </w:rPr>
        <w:t xml:space="preserve">HubSpot is new since the last version</w:t>
      </w:r>
    </w:p>
    <w:p>
      <w:pPr>
        <w:pBdr>
          <w:left w:val="single" w:color="85878F" w:sz="18" w:space="10"/>
        </w:pBdr>
        <w:spacing w:after="140"/>
        <w:ind w:left="120"/>
      </w:pPr>
      <w:r>
        <w:rPr>
          <w:rFonts w:ascii="Consolas" w:cs="Consolas" w:eastAsia="Consolas" w:hAnsi="Consolas"/>
          <w:b/>
          <w:bCs/>
          <w:i w:val="false"/>
          <w:iCs w:val="false"/>
          <w:caps w:val="false"/>
          <w:color w:val="85878F"/>
          <w:spacing w:val="26"/>
          <w:sz w:val="13"/>
          <w:szCs w:val="13"/>
        </w:rPr>
        <w:t xml:space="preserve">CONFIRM</w:t>
      </w:r>
    </w:p>
    <w:p>
      <w:pPr>
        <w:spacing w:after="40"/>
      </w:pPr>
      <w:r>
        <w:rPr>
          <w:rFonts w:ascii="Consolas" w:cs="Consolas" w:eastAsia="Consolas" w:hAnsi="Consolas"/>
          <w:b/>
          <w:bCs/>
          <w:i w:val="false"/>
          <w:iCs w:val="false"/>
          <w:caps w:val="false"/>
          <w:color w:val="85878F"/>
          <w:spacing w:val="24"/>
          <w:sz w:val="12"/>
          <w:szCs w:val="12"/>
        </w:rPr>
        <w:t xml:space="preserve">CURRENTLY READS</w:t>
      </w:r>
    </w:p>
    <w:p>
      <w:pPr>
        <w:pBdr>
          <w:left w:val="single" w:color="85878F" w:sz="14" w:space="12"/>
        </w:pBdr>
        <w:shd w:fill="F4F4F2" w:color="auto" w:val="clear"/>
        <w:spacing w:after="140" w:line="300"/>
        <w:ind w:left="160"/>
      </w:pPr>
      <w:r>
        <w:rPr>
          <w:rFonts w:ascii="Consolas" w:cs="Consolas" w:eastAsia="Consolas" w:hAnsi="Consolas"/>
          <w:b w:val="false"/>
          <w:bCs w:val="false"/>
          <w:i w:val="false"/>
          <w:iCs w:val="false"/>
          <w:caps w:val="false"/>
          <w:color w:val="4A4C55"/>
          <w:sz w:val="16"/>
          <w:szCs w:val="16"/>
        </w:rPr>
        <w:t xml:space="preserve">Tools and Platforms: Salesforce, Gainsight, Zendesk, HubSpot, Atlassian (Jira, Confluence)...</w:t>
      </w:r>
    </w:p>
    <w:p>
      <w:pPr>
        <w:spacing w:after="140" w:before="0" w:line="300"/>
      </w:pPr>
      <w:r>
        <w:rPr>
          <w:rFonts w:ascii="Calibri" w:cs="Calibri" w:eastAsia="Calibri" w:hAnsi="Calibri"/>
          <w:b w:val="false"/>
          <w:bCs w:val="false"/>
          <w:i w:val="false"/>
          <w:iCs w:val="false"/>
          <w:caps w:val="false"/>
          <w:color w:val="4A4C55"/>
          <w:sz w:val="20"/>
          <w:szCs w:val="20"/>
        </w:rPr>
        <w:t xml:space="preserve">Comparing the two tool lines, Zendesk, Microsoft 365, Jira and Confluence are just proper-name expansions of things that were already there. HubSpot was not on the original at all. If you have used it, it stays and this item is closed. If it went on because it looks good on a customer success resume, it is the same trap the basic scripting line was: it invites a screening question with no upside.</w:t>
      </w:r>
    </w:p>
    <w:p>
      <w:pPr>
        <w:pBdr>
          <w:left w:val="single" w:color="2E5E4E" w:sz="14" w:space="12"/>
        </w:pBdr>
        <w:shd w:fill="E9F0EC" w:color="auto" w:val="clear"/>
        <w:spacing w:after="220" w:line="300"/>
        <w:ind w:left="160"/>
      </w:pPr>
      <w:r>
        <w:rPr>
          <w:rFonts w:ascii="Consolas" w:cs="Consolas" w:eastAsia="Consolas" w:hAnsi="Consolas"/>
          <w:b/>
          <w:bCs/>
          <w:i w:val="false"/>
          <w:iCs w:val="false"/>
          <w:caps w:val="false"/>
          <w:color w:val="2E5E4E"/>
          <w:spacing w:val="24"/>
          <w:sz w:val="12"/>
          <w:szCs w:val="12"/>
        </w:rPr>
        <w:t xml:space="preserve">ACTION   </w:t>
      </w:r>
      <w:r>
        <w:rPr>
          <w:rFonts w:ascii="Calibri" w:cs="Calibri" w:eastAsia="Calibri" w:hAnsi="Calibri"/>
          <w:b w:val="false"/>
          <w:bCs w:val="false"/>
          <w:i w:val="false"/>
          <w:iCs w:val="false"/>
          <w:caps w:val="false"/>
          <w:color w:val="1C1D22"/>
          <w:sz w:val="19"/>
          <w:szCs w:val="19"/>
        </w:rPr>
        <w:t xml:space="preserve">Keep it only if you can talk about how you used it for ten minutes. Otherwise cut it.</w:t>
      </w:r>
    </w:p>
    <w:p>
      <w:pPr>
        <w:pStyle w:val="Heading2"/>
        <w:pBdr>
          <w:left w:val="single" w:color="85878F" w:sz="18" w:space="10"/>
        </w:pBdr>
        <w:spacing w:after="60" w:before="300"/>
        <w:ind w:left="120"/>
      </w:pPr>
      <w:r>
        <w:rPr>
          <w:rFonts w:ascii="Consolas" w:cs="Consolas" w:eastAsia="Consolas" w:hAnsi="Consolas"/>
          <w:b/>
          <w:bCs/>
          <w:i w:val="false"/>
          <w:iCs w:val="false"/>
          <w:caps w:val="false"/>
          <w:color w:val="85878F"/>
          <w:sz w:val="24"/>
          <w:szCs w:val="24"/>
        </w:rPr>
        <w:t xml:space="preserve">7.  </w:t>
      </w:r>
      <w:r>
        <w:rPr>
          <w:rFonts w:ascii="Georgia" w:cs="Georgia" w:eastAsia="Georgia" w:hAnsi="Georgia"/>
          <w:b w:val="false"/>
          <w:bCs w:val="false"/>
          <w:i w:val="false"/>
          <w:iCs w:val="false"/>
          <w:caps w:val="false"/>
          <w:color w:val="1C1D22"/>
          <w:sz w:val="24"/>
          <w:szCs w:val="24"/>
        </w:rPr>
        <w:t xml:space="preserve">Senior came off the Malwarebytes title</w:t>
      </w:r>
    </w:p>
    <w:p>
      <w:pPr>
        <w:pBdr>
          <w:left w:val="single" w:color="85878F" w:sz="18" w:space="10"/>
        </w:pBdr>
        <w:spacing w:after="140"/>
        <w:ind w:left="120"/>
      </w:pPr>
      <w:r>
        <w:rPr>
          <w:rFonts w:ascii="Consolas" w:cs="Consolas" w:eastAsia="Consolas" w:hAnsi="Consolas"/>
          <w:b/>
          <w:bCs/>
          <w:i w:val="false"/>
          <w:iCs w:val="false"/>
          <w:caps w:val="false"/>
          <w:color w:val="85878F"/>
          <w:spacing w:val="26"/>
          <w:sz w:val="13"/>
          <w:szCs w:val="13"/>
        </w:rPr>
        <w:t xml:space="preserve">CONFIRM</w:t>
      </w:r>
    </w:p>
    <w:p>
      <w:pPr>
        <w:spacing w:after="40"/>
      </w:pPr>
      <w:r>
        <w:rPr>
          <w:rFonts w:ascii="Consolas" w:cs="Consolas" w:eastAsia="Consolas" w:hAnsi="Consolas"/>
          <w:b/>
          <w:bCs/>
          <w:i w:val="false"/>
          <w:iCs w:val="false"/>
          <w:caps w:val="false"/>
          <w:color w:val="85878F"/>
          <w:spacing w:val="24"/>
          <w:sz w:val="12"/>
          <w:szCs w:val="12"/>
        </w:rPr>
        <w:t xml:space="preserve">CURRENTLY READS</w:t>
      </w:r>
    </w:p>
    <w:p>
      <w:pPr>
        <w:pBdr>
          <w:left w:val="single" w:color="85878F" w:sz="14" w:space="12"/>
        </w:pBdr>
        <w:shd w:fill="F4F4F2" w:color="auto" w:val="clear"/>
        <w:spacing w:after="140" w:line="300"/>
        <w:ind w:left="160"/>
      </w:pPr>
      <w:r>
        <w:rPr>
          <w:rFonts w:ascii="Consolas" w:cs="Consolas" w:eastAsia="Consolas" w:hAnsi="Consolas"/>
          <w:b w:val="false"/>
          <w:bCs w:val="false"/>
          <w:i w:val="false"/>
          <w:iCs w:val="false"/>
          <w:caps w:val="false"/>
          <w:color w:val="4A4C55"/>
          <w:sz w:val="16"/>
          <w:szCs w:val="16"/>
        </w:rPr>
        <w:t xml:space="preserve">Managed Security Services Onboarding Manager      (was: Sr Managed Security Services Client Enablement)</w:t>
      </w:r>
    </w:p>
    <w:p>
      <w:pPr>
        <w:spacing w:after="140" w:before="0" w:line="300"/>
      </w:pPr>
      <w:r>
        <w:rPr>
          <w:rFonts w:ascii="Calibri" w:cs="Calibri" w:eastAsia="Calibri" w:hAnsi="Calibri"/>
          <w:b w:val="false"/>
          <w:bCs w:val="false"/>
          <w:i w:val="false"/>
          <w:iCs w:val="false"/>
          <w:caps w:val="false"/>
          <w:color w:val="4A4C55"/>
          <w:sz w:val="20"/>
          <w:szCs w:val="20"/>
        </w:rPr>
        <w:t xml:space="preserve">The new title is a real title and it parses, which was the point, and that is a clear improvement. But it dropped a level signal in the process. This matters concretely: one of the strongest roles on your target list, the SecurityScorecard Senior Customer Success Manager at $160,000 to $200,000, calls five to seven years non-negotiable for the senior title. You are right at that line, and title language is part of how a screener decides which side of it you land on.</w:t>
      </w:r>
    </w:p>
    <w:p>
      <w:pPr>
        <w:pBdr>
          <w:left w:val="single" w:color="2E5E4E" w:sz="14" w:space="12"/>
        </w:pBdr>
        <w:shd w:fill="E9F0EC" w:color="auto" w:val="clear"/>
        <w:spacing w:after="220" w:line="300"/>
        <w:ind w:left="160"/>
      </w:pPr>
      <w:r>
        <w:rPr>
          <w:rFonts w:ascii="Consolas" w:cs="Consolas" w:eastAsia="Consolas" w:hAnsi="Consolas"/>
          <w:b/>
          <w:bCs/>
          <w:i w:val="false"/>
          <w:iCs w:val="false"/>
          <w:caps w:val="false"/>
          <w:color w:val="2E5E4E"/>
          <w:spacing w:val="24"/>
          <w:sz w:val="12"/>
          <w:szCs w:val="12"/>
        </w:rPr>
        <w:t xml:space="preserve">ACTION   </w:t>
      </w:r>
      <w:r>
        <w:rPr>
          <w:rFonts w:ascii="Calibri" w:cs="Calibri" w:eastAsia="Calibri" w:hAnsi="Calibri"/>
          <w:b w:val="false"/>
          <w:bCs w:val="false"/>
          <w:i w:val="false"/>
          <w:iCs w:val="false"/>
          <w:caps w:val="false"/>
          <w:color w:val="1C1D22"/>
          <w:sz w:val="19"/>
          <w:szCs w:val="19"/>
        </w:rPr>
        <w:t xml:space="preserve">If the title on the offer letter carried Senior, use it: Senior Manager, Managed Security Services Onboarding. If it did not, leave it off. Do not add it to gain the level signal, because that reintroduces exactly the credibility problem the rewrite just solved.</w:t>
      </w:r>
    </w:p>
    <w:p>
      <w:pPr>
        <w:pStyle w:val="Heading2"/>
        <w:pBdr>
          <w:left w:val="single" w:color="85878F" w:sz="18" w:space="10"/>
        </w:pBdr>
        <w:spacing w:after="60" w:before="300"/>
        <w:ind w:left="120"/>
      </w:pPr>
      <w:r>
        <w:rPr>
          <w:rFonts w:ascii="Consolas" w:cs="Consolas" w:eastAsia="Consolas" w:hAnsi="Consolas"/>
          <w:b/>
          <w:bCs/>
          <w:i w:val="false"/>
          <w:iCs w:val="false"/>
          <w:caps w:val="false"/>
          <w:color w:val="85878F"/>
          <w:sz w:val="24"/>
          <w:szCs w:val="24"/>
        </w:rPr>
        <w:t xml:space="preserve">8.  </w:t>
      </w:r>
      <w:r>
        <w:rPr>
          <w:rFonts w:ascii="Georgia" w:cs="Georgia" w:eastAsia="Georgia" w:hAnsi="Georgia"/>
          <w:b w:val="false"/>
          <w:bCs w:val="false"/>
          <w:i w:val="false"/>
          <w:iCs w:val="false"/>
          <w:caps w:val="false"/>
          <w:color w:val="1C1D22"/>
          <w:sz w:val="24"/>
          <w:szCs w:val="24"/>
        </w:rPr>
        <w:t xml:space="preserve">Still nothing about managing people</w:t>
      </w:r>
    </w:p>
    <w:p>
      <w:pPr>
        <w:pBdr>
          <w:left w:val="single" w:color="85878F" w:sz="18" w:space="10"/>
        </w:pBdr>
        <w:spacing w:after="140"/>
        <w:ind w:left="120"/>
      </w:pPr>
      <w:r>
        <w:rPr>
          <w:rFonts w:ascii="Consolas" w:cs="Consolas" w:eastAsia="Consolas" w:hAnsi="Consolas"/>
          <w:b/>
          <w:bCs/>
          <w:i w:val="false"/>
          <w:iCs w:val="false"/>
          <w:caps w:val="false"/>
          <w:color w:val="85878F"/>
          <w:spacing w:val="26"/>
          <w:sz w:val="13"/>
          <w:szCs w:val="13"/>
        </w:rPr>
        <w:t xml:space="preserve">CONFIRM</w:t>
      </w:r>
    </w:p>
    <w:p>
      <w:pPr>
        <w:spacing w:after="40"/>
      </w:pPr>
      <w:r>
        <w:rPr>
          <w:rFonts w:ascii="Consolas" w:cs="Consolas" w:eastAsia="Consolas" w:hAnsi="Consolas"/>
          <w:b/>
          <w:bCs/>
          <w:i w:val="false"/>
          <w:iCs w:val="false"/>
          <w:caps w:val="false"/>
          <w:color w:val="85878F"/>
          <w:spacing w:val="24"/>
          <w:sz w:val="12"/>
          <w:szCs w:val="12"/>
        </w:rPr>
        <w:t xml:space="preserve">CURRENTLY READS</w:t>
      </w:r>
    </w:p>
    <w:p>
      <w:pPr>
        <w:pBdr>
          <w:left w:val="single" w:color="85878F" w:sz="14" w:space="12"/>
        </w:pBdr>
        <w:shd w:fill="F4F4F2" w:color="auto" w:val="clear"/>
        <w:spacing w:after="140" w:line="300"/>
        <w:ind w:left="160"/>
      </w:pPr>
      <w:r>
        <w:rPr>
          <w:rFonts w:ascii="Consolas" w:cs="Consolas" w:eastAsia="Consolas" w:hAnsi="Consolas"/>
          <w:b w:val="false"/>
          <w:bCs w:val="false"/>
          <w:i w:val="false"/>
          <w:iCs w:val="false"/>
          <w:caps w:val="false"/>
          <w:color w:val="4A4C55"/>
          <w:sz w:val="16"/>
          <w:szCs w:val="16"/>
        </w:rPr>
        <w:t xml:space="preserve">Built and led the global MSS onboarding program end to end...
Developed and delivered cross-functional enablement curriculum for Security Analysts, Technical Account Managers, Sales, and Customer Success teams...</w:t>
      </w:r>
    </w:p>
    <w:p>
      <w:pPr>
        <w:spacing w:after="140" w:before="0" w:line="300"/>
      </w:pPr>
      <w:r>
        <w:rPr>
          <w:rFonts w:ascii="Calibri" w:cs="Calibri" w:eastAsia="Calibri" w:hAnsi="Calibri"/>
          <w:b w:val="false"/>
          <w:bCs w:val="false"/>
          <w:i w:val="false"/>
          <w:iCs w:val="false"/>
          <w:caps w:val="false"/>
          <w:color w:val="4A4C55"/>
          <w:sz w:val="20"/>
          <w:szCs w:val="20"/>
        </w:rPr>
        <w:t xml:space="preserve">That is program leadership and cross-functional training, which is real, but it is not headcount. No line on this resume says you have managed direct reports. This is worth quantifying because of one specific comparison: Vanta is currently hiring a Customer Success Manager at $138,000 to $162,000 and a Senior Manager of Customer Success at $198,000 to $233,000. Same company, same product, same customers. The difference is people management.</w:t>
      </w:r>
    </w:p>
    <w:p>
      <w:pPr>
        <w:pBdr>
          <w:left w:val="single" w:color="2E5E4E" w:sz="14" w:space="12"/>
        </w:pBdr>
        <w:shd w:fill="E9F0EC" w:color="auto" w:val="clear"/>
        <w:spacing w:after="220" w:line="300"/>
        <w:ind w:left="160"/>
      </w:pPr>
      <w:r>
        <w:rPr>
          <w:rFonts w:ascii="Consolas" w:cs="Consolas" w:eastAsia="Consolas" w:hAnsi="Consolas"/>
          <w:b/>
          <w:bCs/>
          <w:i w:val="false"/>
          <w:iCs w:val="false"/>
          <w:caps w:val="false"/>
          <w:color w:val="2E5E4E"/>
          <w:spacing w:val="24"/>
          <w:sz w:val="12"/>
          <w:szCs w:val="12"/>
        </w:rPr>
        <w:t xml:space="preserve">ACTION   </w:t>
      </w:r>
      <w:r>
        <w:rPr>
          <w:rFonts w:ascii="Calibri" w:cs="Calibri" w:eastAsia="Calibri" w:hAnsi="Calibri"/>
          <w:b w:val="false"/>
          <w:bCs w:val="false"/>
          <w:i w:val="false"/>
          <w:iCs w:val="false"/>
          <w:caps w:val="false"/>
          <w:color w:val="1C1D22"/>
          <w:sz w:val="19"/>
          <w:szCs w:val="19"/>
        </w:rPr>
        <w:t xml:space="preserve">If you have managed direct reports at any point, add it with the number. That is a one line change worth roughly sixty thousand dollars in reachable roles. If you have not, leave the resume as is and make it a criterion for the next job: does this role put a team under me inside eighteen months.</w:t>
      </w:r>
    </w:p>
    <w:p>
      <w:pPr>
        <w:pBdr>
          <w:bottom w:val="single" w:color="1C1D22"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E5E4E"/>
          <w:spacing w:val="30"/>
          <w:sz w:val="15"/>
          <w:szCs w:val="15"/>
        </w:rPr>
        <w:t xml:space="preserve">Section 4  /  Resolved</w:t>
      </w:r>
    </w:p>
    <w:p>
      <w:pPr>
        <w:pStyle w:val="Heading1"/>
        <w:spacing w:after="160" w:before="0"/>
      </w:pPr>
      <w:r>
        <w:rPr>
          <w:rFonts w:ascii="Georgia" w:cs="Georgia" w:eastAsia="Georgia" w:hAnsi="Georgia"/>
          <w:b w:val="false"/>
          <w:bCs w:val="false"/>
          <w:i w:val="false"/>
          <w:iCs w:val="false"/>
          <w:caps w:val="false"/>
          <w:color w:val="1C1D22"/>
          <w:sz w:val="34"/>
          <w:szCs w:val="34"/>
        </w:rPr>
        <w:t xml:space="preserve">Confirmed done, leave these alone</w:t>
      </w:r>
    </w:p>
    <w:p>
      <w:pPr>
        <w:spacing w:after="160" w:before="0" w:line="300"/>
      </w:pPr>
      <w:r>
        <w:rPr>
          <w:rFonts w:ascii="Calibri" w:cs="Calibri" w:eastAsia="Calibri" w:hAnsi="Calibri"/>
          <w:b w:val="false"/>
          <w:bCs w:val="false"/>
          <w:i w:val="false"/>
          <w:iCs w:val="false"/>
          <w:caps w:val="false"/>
          <w:color w:val="4A4C55"/>
          <w:sz w:val="20"/>
          <w:szCs w:val="20"/>
        </w:rPr>
        <w:t xml:space="preserve">These eight were the original list and all eight are closed. Noting them so nothing gets undone in a later editing pass.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0"/>
        <w:gridCol w:w="3400"/>
        <w:gridCol w:w="3580"/>
      </w:tblGrid>
      <w:tr>
        <w:trPr>
          <w:tblHeader/>
        </w:trPr>
        <w:tc>
          <w:tcPr>
            <w:tcW w:type="dxa" w:w="3100"/>
            <w:tcBorders>
              <w:top w:val="single" w:color="2E5E4E" w:sz="4"/>
              <w:left w:val="single" w:color="2E5E4E" w:sz="4"/>
              <w:bottom w:val="single" w:color="2E5E4E" w:sz="4"/>
              <w:right w:val="single" w:color="2E5E4E" w:sz="4"/>
            </w:tcBorders>
            <w:shd w:fill="2E5E4E"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Item</w:t>
            </w:r>
          </w:p>
        </w:tc>
        <w:tc>
          <w:tcPr>
            <w:tcW w:type="dxa" w:w="3400"/>
            <w:tcBorders>
              <w:top w:val="single" w:color="2E5E4E" w:sz="4"/>
              <w:left w:val="single" w:color="2E5E4E" w:sz="4"/>
              <w:bottom w:val="single" w:color="2E5E4E" w:sz="4"/>
              <w:right w:val="single" w:color="2E5E4E" w:sz="4"/>
            </w:tcBorders>
            <w:shd w:fill="2E5E4E"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Was</w:t>
            </w:r>
          </w:p>
        </w:tc>
        <w:tc>
          <w:tcPr>
            <w:tcW w:type="dxa" w:w="3580"/>
            <w:tcBorders>
              <w:top w:val="single" w:color="2E5E4E" w:sz="4"/>
              <w:left w:val="single" w:color="2E5E4E" w:sz="4"/>
              <w:bottom w:val="single" w:color="2E5E4E" w:sz="4"/>
              <w:right w:val="single" w:color="2E5E4E" w:sz="4"/>
            </w:tcBorders>
            <w:shd w:fill="2E5E4E"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Now</w:t>
            </w:r>
          </w:p>
        </w:tc>
      </w:tr>
      <w:tr>
        <w:tc>
          <w:tcPr>
            <w:tcW w:type="dxa" w:w="31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Opening sentence</w:t>
            </w:r>
          </w:p>
        </w:tc>
        <w:tc>
          <w:tcPr>
            <w:tcW w:type="dxa" w:w="34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15+ years in cybersecurity, SaaS and SMB technology</w:t>
            </w:r>
          </w:p>
        </w:tc>
        <w:tc>
          <w:tcPr>
            <w:tcW w:type="dxa" w:w="358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Leads with the Malwarebytes program, 90% retention, 88% enablement</w:t>
            </w:r>
          </w:p>
        </w:tc>
      </w:tr>
      <w:tr>
        <w:tc>
          <w:tcPr>
            <w:tcW w:type="dxa" w:w="31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Holly Yashi block</w:t>
            </w:r>
          </w:p>
        </w:tc>
        <w:tc>
          <w:tcPr>
            <w:tcW w:type="dxa" w:w="34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QVC temp story plus five bullets</w:t>
            </w:r>
          </w:p>
        </w:tc>
        <w:tc>
          <w:tcPr>
            <w:tcW w:type="dxa" w:w="358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Three bullets, PCI-DSS remediation first</w:t>
            </w:r>
          </w:p>
        </w:tc>
      </w:tr>
      <w:tr>
        <w:tc>
          <w:tcPr>
            <w:tcW w:type="dxa" w:w="31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Core skills formatting</w:t>
            </w:r>
          </w:p>
        </w:tc>
        <w:tc>
          <w:tcPr>
            <w:tcW w:type="dxa" w:w="34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Two lines collapsed, one orphaned fragment</w:t>
            </w:r>
          </w:p>
        </w:tc>
        <w:tc>
          <w:tcPr>
            <w:tcW w:type="dxa" w:w="358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Four clean categories, rebuilt</w:t>
            </w:r>
          </w:p>
        </w:tc>
      </w:tr>
      <w:tr>
        <w:tc>
          <w:tcPr>
            <w:tcW w:type="dxa" w:w="31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Theater credits</w:t>
            </w:r>
          </w:p>
        </w:tc>
        <w:tc>
          <w:tcPr>
            <w:tcW w:type="dxa" w:w="34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Two 2001 and 2002 production credits</w:t>
            </w:r>
          </w:p>
        </w:tc>
        <w:tc>
          <w:tcPr>
            <w:tcW w:type="dxa" w:w="358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Removed, degree kept</w:t>
            </w:r>
          </w:p>
        </w:tc>
      </w:tr>
      <w:tr>
        <w:tc>
          <w:tcPr>
            <w:tcW w:type="dxa" w:w="31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Basic scripting line</w:t>
            </w:r>
          </w:p>
        </w:tc>
        <w:tc>
          <w:tcPr>
            <w:tcW w:type="dxa" w:w="34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Scripting (Basic Understanding): Python, Bash</w:t>
            </w:r>
          </w:p>
        </w:tc>
        <w:tc>
          <w:tcPr>
            <w:tcW w:type="dxa" w:w="358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Removed, protocols kept</w:t>
            </w:r>
          </w:p>
        </w:tc>
      </w:tr>
      <w:tr>
        <w:tc>
          <w:tcPr>
            <w:tcW w:type="dxa" w:w="31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Malwarebytes title</w:t>
            </w:r>
          </w:p>
        </w:tc>
        <w:tc>
          <w:tcPr>
            <w:tcW w:type="dxa" w:w="34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Sr Managed Security Services Client Enablement</w:t>
            </w:r>
          </w:p>
        </w:tc>
        <w:tc>
          <w:tcPr>
            <w:tcW w:type="dxa" w:w="358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Managed Security Services Onboarding Manager</w:t>
            </w:r>
          </w:p>
        </w:tc>
      </w:tr>
      <w:tr>
        <w:tc>
          <w:tcPr>
            <w:tcW w:type="dxa" w:w="31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MSP channel</w:t>
            </w:r>
          </w:p>
        </w:tc>
        <w:tc>
          <w:tcPr>
            <w:tcW w:type="dxa" w:w="34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Mentioned once, mid-paragraph</w:t>
            </w:r>
          </w:p>
        </w:tc>
        <w:tc>
          <w:tcPr>
            <w:tcW w:type="dxa" w:w="358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In the header line and its own skills category</w:t>
            </w:r>
          </w:p>
        </w:tc>
      </w:tr>
      <w:tr>
        <w:tc>
          <w:tcPr>
            <w:tcW w:type="dxa" w:w="31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Address</w:t>
            </w:r>
          </w:p>
        </w:tc>
        <w:tc>
          <w:tcPr>
            <w:tcW w:type="dxa" w:w="34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Full street address in McKinleyville</w:t>
            </w:r>
          </w:p>
        </w:tc>
        <w:tc>
          <w:tcPr>
            <w:tcW w:type="dxa" w:w="358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Remote (Pacific Time), McKinleyville, CA</w:t>
            </w:r>
          </w:p>
        </w:tc>
      </w:tr>
    </w:tbl>
    <w:p>
      <w:pPr>
        <w:spacing w:after="120" w:before="200" w:line="300"/>
      </w:pPr>
      <w:r>
        <w:rPr>
          <w:rFonts w:ascii="Calibri" w:cs="Calibri" w:eastAsia="Calibri" w:hAnsi="Calibri"/>
          <w:b w:val="false"/>
          <w:bCs w:val="false"/>
          <w:i w:val="false"/>
          <w:iCs w:val="false"/>
          <w:caps w:val="false"/>
          <w:color w:val="4A4C55"/>
          <w:sz w:val="20"/>
          <w:szCs w:val="20"/>
        </w:rPr>
        <w:t xml:space="preserve">One addition that was not on the original list and is better than what was suggested: the line reading five years of continuous fully remote work in security SaaS, Pacific Time. That takes the number that was the whole problem, states it honestly, and converts it into two assets at once, a verified remote track record and a preemptive answer to the geography question before a recruiter can turn it into a doubt. Keep it.</w:t>
      </w:r>
    </w:p>
    <w:p>
      <w:pPr>
        <w:pBdr>
          <w:bottom w:val="single" w:color="1C1D22"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E5E4E"/>
          <w:spacing w:val="30"/>
          <w:sz w:val="15"/>
          <w:szCs w:val="15"/>
        </w:rPr>
        <w:t xml:space="preserve">Section 5  /  Sequence</w:t>
      </w:r>
    </w:p>
    <w:p>
      <w:pPr>
        <w:pStyle w:val="Heading1"/>
        <w:spacing w:after="160" w:before="0"/>
      </w:pPr>
      <w:r>
        <w:rPr>
          <w:rFonts w:ascii="Georgia" w:cs="Georgia" w:eastAsia="Georgia" w:hAnsi="Georgia"/>
          <w:b w:val="false"/>
          <w:bCs w:val="false"/>
          <w:i w:val="false"/>
          <w:iCs w:val="false"/>
          <w:caps w:val="false"/>
          <w:color w:val="1C1D22"/>
          <w:sz w:val="34"/>
          <w:szCs w:val="34"/>
        </w:rPr>
        <w:t xml:space="preserve">What to do, in order</w:t>
      </w:r>
    </w:p>
    <w:p>
      <w:pPr>
        <w:spacing w:after="100" w:before="0" w:line="300"/>
      </w:pPr>
      <w:r>
        <w:rPr>
          <w:rFonts w:ascii="Calibri" w:cs="Calibri" w:eastAsia="Calibri" w:hAnsi="Calibri"/>
          <w:b w:val="false"/>
          <w:bCs w:val="false"/>
          <w:i w:val="false"/>
          <w:iCs w:val="false"/>
          <w:caps w:val="false"/>
          <w:color w:val="4A4C55"/>
          <w:sz w:val="20"/>
          <w:szCs w:val="20"/>
        </w:rPr>
        <w:t xml:space="preserve">1.  Fill the three brackets. Nothing else matters until this is done, and it closes item three at the same time.</w:t>
      </w:r>
    </w:p>
    <w:p>
      <w:pPr>
        <w:spacing w:after="100" w:before="0" w:line="300"/>
      </w:pPr>
      <w:r>
        <w:rPr>
          <w:rFonts w:ascii="Calibri" w:cs="Calibri" w:eastAsia="Calibri" w:hAnsi="Calibri"/>
          <w:b w:val="false"/>
          <w:bCs w:val="false"/>
          <w:i w:val="false"/>
          <w:iCs w:val="false"/>
          <w:caps w:val="false"/>
          <w:color w:val="4A4C55"/>
          <w:sz w:val="20"/>
          <w:szCs w:val="20"/>
        </w:rPr>
        <w:t xml:space="preserve">2.  Answer the three questions: HubSpot, the Senior title, and whether you have managed direct reports. Two of the three may change what the resume says, and the third changes which roles are worth applying to.</w:t>
      </w:r>
    </w:p>
    <w:p>
      <w:pPr>
        <w:spacing w:after="100" w:before="0" w:line="300"/>
      </w:pPr>
      <w:r>
        <w:rPr>
          <w:rFonts w:ascii="Calibri" w:cs="Calibri" w:eastAsia="Calibri" w:hAnsi="Calibri"/>
          <w:b w:val="false"/>
          <w:bCs w:val="false"/>
          <w:i w:val="false"/>
          <w:iCs w:val="false"/>
          <w:caps w:val="false"/>
          <w:color w:val="4A4C55"/>
          <w:sz w:val="20"/>
          <w:szCs w:val="20"/>
        </w:rPr>
        <w:t xml:space="preserve">3.  Make the two small edits: months on the dates, and a decision on the phrase over two years.</w:t>
      </w:r>
    </w:p>
    <w:p>
      <w:pPr>
        <w:spacing w:after="200" w:before="0" w:line="300"/>
      </w:pPr>
      <w:r>
        <w:rPr>
          <w:rFonts w:ascii="Calibri" w:cs="Calibri" w:eastAsia="Calibri" w:hAnsi="Calibri"/>
          <w:b w:val="false"/>
          <w:bCs w:val="false"/>
          <w:i w:val="false"/>
          <w:iCs w:val="false"/>
          <w:caps w:val="false"/>
          <w:color w:val="4A4C55"/>
          <w:sz w:val="20"/>
          <w:szCs w:val="20"/>
        </w:rPr>
        <w:t xml:space="preserve">4.  Harden the denominator if the real number is retrievable. This one is optional, and it is the difference between a good resume and a hard-to-argue-with one.</w:t>
      </w:r>
    </w:p>
    <w:p>
      <w:pPr>
        <w:pBdr>
          <w:left w:val="single" w:color="DCDCD9" w:sz="10" w:space="14"/>
        </w:pBdr>
        <w:spacing w:after="160" w:before="200"/>
        <w:ind w:left="180"/>
      </w:pPr>
      <w:r>
        <w:rPr>
          <w:rFonts w:ascii="Calibri" w:cs="Calibri" w:eastAsia="Calibri" w:hAnsi="Calibri"/>
          <w:b w:val="false"/>
          <w:bCs w:val="false"/>
          <w:i/>
          <w:iCs/>
          <w:caps w:val="false"/>
          <w:color w:val="85878F"/>
          <w:sz w:val="18"/>
          <w:szCs w:val="18"/>
        </w:rPr>
        <w:t xml:space="preserve">Once the brackets are filled the resume is ready to send. The first application is Drata, Customer Education Manager, which is the closest match on the market to the program you actually built.</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C55"/>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C1D22"/>
      <w:sz w:val="34"/>
      <w:szCs w:val="34"/>
    </w:rPr>
  </w:style>
  <w:style w:type="paragraph" w:styleId="Heading2">
    <w:name w:val="Heading 2"/>
    <w:basedOn w:val="Normal"/>
    <w:next w:val="Normal"/>
    <w:qFormat/>
    <w:rPr>
      <w:rFonts w:ascii="Georgia" w:cs="Georgia" w:eastAsia="Georgia" w:hAnsi="Georgia"/>
      <w:b w:val="false"/>
      <w:bCs w:val="false"/>
      <w:color w:val="1C1D22"/>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punch list, Jeffrey G. Walton</dc:title>
  <dc:creator>Job Search Analysis</dc:creator>
  <dc:description>Review of Walton_Resume_MASTER.docx against the original ten recommendations</dc:description>
  <cp:lastModifiedBy>Un-named</cp:lastModifiedBy>
  <cp:revision>1</cp:revision>
  <dcterms:created xsi:type="dcterms:W3CDTF">2026-09-10T20:54:12.431Z</dcterms:created>
  <dcterms:modified xsi:type="dcterms:W3CDTF">2026-09-10T20:54:12.446Z</dcterms:modified>
</cp:coreProperties>
</file>

<file path=docProps/custom.xml><?xml version="1.0" encoding="utf-8"?>
<Properties xmlns="http://schemas.openxmlformats.org/officeDocument/2006/custom-properties" xmlns:vt="http://schemas.openxmlformats.org/officeDocument/2006/docPropsVTypes"/>
</file>