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ROBERT J. SHAKER II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rshaker2@gmail.com  ·  508-615-0506  ·  linkedin.com/in/rshaker2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KEY HIGHLIGHTS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0" w:sz="6" w:val="single"/>
        </w:pBdr>
        <w:spacing w:after="100" w:before="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tl w:val="0"/>
        </w:rPr>
        <w:t xml:space="preserve">30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+ years of expertise in </w:t>
      </w:r>
      <w:r>
        <w:rPr>
          <w:rtl w:val="0"/>
        </w:rPr>
        <w:t xml:space="preserve">cybersecurity,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open source, and software supply chain security, with deep domain experience across financial services, healthcare, and enterprise software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Across four PE-backed businesses, grew a managed security line from $150M to $</w:t>
      </w:r>
      <w:r>
        <w:rPr>
          <w:rtl w:val="0"/>
        </w:rPr>
        <w:t xml:space="preserve">2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50M and built three businesses from zero to $10M, at 12-50% YoY growth, while improving margins from negative EBITDA to profitability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Led AI transformation programs at scale, deploying cross functional AI-driven tooling that reduced ship times by 75%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and restructured high-performing engineering and product organizations from the ground up, scaling teams from zero to </w:t>
      </w:r>
      <w:r>
        <w:rPr>
          <w:rtl w:val="0"/>
        </w:rPr>
        <w:t xml:space="preserve">fifty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Deep GTM and analyst influence experience</w:t>
      </w:r>
      <w:r>
        <w:rPr>
          <w:rtl w:val="0"/>
        </w:rPr>
        <w:t xml:space="preserve">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repositioning lagging products to category leadership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Drives measurable customer retention improvements from 60% to &gt;</w:t>
      </w:r>
      <w:r>
        <w:rPr>
          <w:rtl w:val="0"/>
        </w:rPr>
        <w:t xml:space="preserve">9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0% through product and service-led engagement strategies</w:t>
      </w:r>
    </w:p>
    <w:p w:rsidR="00000000" w:rsidDel="00000000" w:rsidP="00000000" w:rsidRDefault="00000000" w:rsidRPr="00000000" w14:paraId="0000000B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999999" w:space="0" w:sz="6" w:val="single"/>
        </w:pBdr>
        <w:spacing w:after="100" w:before="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right" w:leader="none" w:pos="1008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ActiveState, </w:t>
      </w:r>
      <w:r>
        <w:rPr>
          <w:i w:val="1"/>
          <w:iCs w:val="1"/>
          <w:color w:val="111111"/>
          <w:sz w:val="20"/>
          <w:szCs w:val="20"/>
          <w:rtl w:val="0"/>
        </w:rPr>
        <w:t xml:space="preserve">Special Projects, Office of the Board</w:t>
      </w:r>
      <w:r>
        <w:rPr>
          <w:color w:val="111111"/>
          <w:sz w:val="20"/>
          <w:szCs w:val="20"/>
          <w:rtl w:val="0"/>
        </w:rPr>
        <w:tab/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May 2026 – Present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Confidential AI initiatives, engaged and directed by the board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Retained by the board following the CPTO mandate, reporting directly to the board rather than through the executive team.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Leading confidential AI initiatives; scope and outcomes are under NDA and can be discussed in general terms.</w:t>
      </w:r>
    </w:p>
    <w:p w:rsidR="00000000" w:rsidDel="00000000" w:rsidP="00000000" w:rsidRDefault="00000000" w:rsidRPr="00000000" w14:paraId="0000010E">
      <w:pPr>
        <w:tabs>
          <w:tab w:val="right" w:leader="none" w:pos="1008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ActiveState, </w:t>
      </w:r>
      <w:r>
        <w:rPr>
          <w:i w:val="1"/>
          <w:iCs w:val="1"/>
          <w:color w:val="111111"/>
          <w:sz w:val="20"/>
          <w:szCs w:val="20"/>
          <w:rtl w:val="0"/>
        </w:rPr>
        <w:t xml:space="preserve">Chief Product and Technology Officer</w:t>
      </w:r>
      <w:r>
        <w:rPr>
          <w:color w:val="111111"/>
          <w:sz w:val="20"/>
          <w:szCs w:val="20"/>
          <w:rtl w:val="0"/>
        </w:rPr>
        <w:tab/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Jul 2025 – May 2026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Enterprise open-source runtime management &amp; software supply chain security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Restructured the product and engineering team into a high-performing AI organization, cutting product development cycle time by 65%.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Rebuilt Gartner analyst narrative around SBOM integrity, runtime lifecycle, and supply chain risk.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Drove AI strategy: MCP architecture, Slack-integrated engineering intake, and AI-assisted product management and coding.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Led roadmap acceleration that cut time to market by 85% and delivered the company's first production-ready products.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Trellix,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VP, XDR Product Management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ab/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Sep 2024 – Jul 2025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Portfolio: Endpoint Protection, EDR (SaaS/on-prem/air-gapped), Cloud Workload Security, ePO, XDR, Policy Auditor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Defined XDR roadmap that unified fragmented FireEye/McAfee endpoint lines into a coherent strategy.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Launched the AI native analyst within the endpoint portfolio that reduced analyst investigation times.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Worked closely with analysts to transform Trellix's position from lagging to thought leader in the space.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Advised on Trellix MDR service creation which compressed time-to-value from years to months.</w:t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Malwarebytes,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VP, Products &amp; Managed Services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ab/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Jul 2021 – Sep 2024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P&amp;L ownership; built MDR business from concept to profitability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Refocused portfolio from multi-segment sprawl to disciplined SMB strategy.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>
          <w:u w:val="none"/>
        </w:rPr>
      </w:pPr>
      <w:r>
        <w:rPr>
          <w:rtl w:val="0"/>
        </w:rPr>
        <w:t xml:space="preserve">Founded and launched the MDR business, growing it from zero to $10M, i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mprov</w:t>
      </w:r>
      <w:r>
        <w:rPr>
          <w:rtl w:val="0"/>
        </w:rPr>
        <w:t xml:space="preserve">ing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unit economics by 60%, margins over 90%, improved EBITDA and customer retention from ~60% to &gt;90%.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Reduced time-to-market from years to months through reformed product management and engineering processes.</w:t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Symantec / NortonLifeLock,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Director, Product and Services PM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ab/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Oct 2015 – Jun 2021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EDR, Network Forensics, Cyber Insurance, Safe Search, Norton for Gamers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Launched </w:t>
      </w:r>
      <w:r>
        <w:rPr>
          <w:rtl w:val="0"/>
        </w:rPr>
        <w:t xml:space="preserve">5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managed services and products: grew managed network forensics from $150M to $250M, built incident response and the cyber insurance center from zero to $10M, and contributed to the overall business reaching $500M at ~12% YoY growth. Acquired by Broadcom/Accenture, </w:t>
      </w:r>
      <w:r>
        <w:rPr>
          <w:rtl w:val="0"/>
        </w:rPr>
        <w:t xml:space="preserve">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  <w:t xml:space="preserve"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  <w:t xml:space="preserve">Aon and HLC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spacing w:after="0" w:before="40" w:lin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Symantec,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Field CTO</w:t>
      </w:r>
      <w:r>
        <w:rPr>
          <w:color w:val="111111"/>
          <w:sz w:val="20"/>
          <w:szCs w:val="20"/>
          <w:rtl w:val="0"/>
        </w:rPr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Jan 2011 – Oct 2015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spacing w:after="0" w:before="40" w:lin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Wellington Management Company &amp; Trust Bank,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VP &amp; CISO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ab/>
        <w:t xml:space="preserve">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Oct 2003 – Jan 2011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0" w:before="40" w:lin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Burntsand,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111111"/>
          <w:sz w:val="20"/>
          <w:szCs w:val="20"/>
          <w:rtl w:val="0"/>
        </w:rPr>
        <w:t xml:space="preserve">Security Solutions Director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Sep 1999 – Oct 2003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EDUCATION &amp; CREDENTIALS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B.S., University of Massachusetts, 2004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Patent: US 10,466,924 (Systems and Methods for Generating Memory Images of Computing Devices)</w:t>
      </w:r>
    </w:p>
    <w:sectPr>
      <w:pgSz w:h="15840" w:w="12240" w:orient="portrait"/>
      <w:pgMar w:bottom="720" w:top="720" w:left="720" w:right="720" w:header="480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>
      <w:pPr>
        <w:spacing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VWG6AFBxby0JIK5JZg4hjRlmw==">CgMxLjA4AHIhMUZ3dlVtT3AzY3NMU3I0NVA3UEx3S3dVeGtmNTNrUi1W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2026-09-17T10:50:00.612Z</dcterms:created>
  <dc:creator>Robert J. Shaker II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