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30 SEPTEMBER 2026  ·  WHAT CHANGED</w:t>
      </w:r>
    </w:p>
    <w:p>
      <w:pPr>
        <w:spacing w:after="40"/>
      </w:pPr>
      <w:r>
        <w:rPr>
          <w:rFonts w:ascii="Georgia" w:cs="Georgia" w:eastAsia="Georgia" w:hAnsi="Georgia"/>
          <w:b w:val="false"/>
          <w:bCs w:val="false"/>
          <w:i w:val="false"/>
          <w:iCs w:val="false"/>
          <w:caps w:val="false"/>
          <w:color w:val="15171C"/>
          <w:sz w:val="44"/>
          <w:szCs w:val="44"/>
        </w:rPr>
        <w:t xml:space="preserve">Robert J. Shaker</w:t>
      </w:r>
    </w:p>
    <w:p>
      <w:pPr>
        <w:spacing w:after="260"/>
      </w:pPr>
      <w:r>
        <w:rPr>
          <w:rFonts w:ascii="Consolas" w:cs="Consolas" w:eastAsia="Consolas" w:hAnsi="Consolas"/>
          <w:b w:val="false"/>
          <w:bCs w:val="false"/>
          <w:i w:val="false"/>
          <w:iCs w:val="false"/>
          <w:caps w:val="false"/>
          <w:color w:val="7F838D"/>
          <w:sz w:val="16"/>
          <w:szCs w:val="16"/>
        </w:rPr>
        <w:t xml:space="preserve">GRC and information security analyst  ·  Boston area prioritised  ·  $94,500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twenty people or so,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in the security function while that was happening, and I built some of the automation myself. The threat intelligence pipeline, the news feed tooling, and a lot of the vendor risk workflow that moved onto Vanta. So I saw exactly where the manual load came off.</w:t>
      </w:r>
    </w:p>
    <w:p>
      <w:pPr>
        <w:spacing w:after="120" w:before="0" w:line="300"/>
      </w:pPr>
      <w:r>
        <w:rPr>
          <w:rFonts w:ascii="Calibri" w:cs="Calibri" w:eastAsia="Calibri" w:hAnsi="Calibri"/>
          <w:b w:val="false"/>
          <w:bCs w:val="false"/>
          <w:i w:val="false"/>
          <w:iCs w:val="false"/>
          <w:caps w:val="false"/>
          <w:color w:val="4B4F59"/>
          <w:sz w:val="20"/>
          <w:szCs w:val="20"/>
        </w:rPr>
        <w:t xml:space="preserve">It came off evidence gathering and questionnaire routing, and it came off fast. What stayed is the assessment itself. Judging whether a vendor's answer is actually good enough, and sitting across from an auditor. I have run 95 vendor assessments and 30 customer questionnaires. That is the part I am good at."</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one of them. I was in the security team through it and built some of the automation myself.</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about individuals.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evidence gathering and the routing. It did not take the judgment. Somebody still has to decide whether a vendor's answer is acceptable, and somebody still has to sit with the auditor. I would rather be the person who knows which is which.</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Keep it short. Analyst screens move fast, and a long answer to this question reads as anxious no matter how good the words are. Stop after "that is the part I am good at" and let them take it from there.</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When you give my name, say I was your CPTO at ActiveState in the same breath. We share a surname and you want that to arrive as context rather than as something a recruiter works out on their own.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Today's new roles show you the exact shape of the squeeze</w:t>
      </w:r>
    </w:p>
    <w:p>
      <w:pPr>
        <w:spacing w:after="120" w:before="0" w:line="300"/>
      </w:pPr>
      <w:r>
        <w:rPr>
          <w:rFonts w:ascii="Calibri" w:cs="Calibri" w:eastAsia="Calibri" w:hAnsi="Calibri"/>
          <w:b w:val="false"/>
          <w:bCs w:val="false"/>
          <w:i w:val="false"/>
          <w:iCs w:val="false"/>
          <w:caps w:val="false"/>
          <w:color w:val="4B4F59"/>
          <w:sz w:val="20"/>
          <w:szCs w:val="20"/>
        </w:rPr>
        <w:t xml:space="preserve">128 read, five new. Two of them together say something no single role does, and it is worth more to you than either one.</w:t>
      </w:r>
    </w:p>
    <w:p>
      <w:pPr>
        <w:spacing w:after="120" w:before="0" w:line="300"/>
      </w:pPr>
      <w:r>
        <w:rPr>
          <w:rFonts w:ascii="Calibri" w:cs="Calibri" w:eastAsia="Calibri" w:hAnsi="Calibri"/>
          <w:b w:val="false"/>
          <w:bCs w:val="false"/>
          <w:i w:val="false"/>
          <w:iCs w:val="false"/>
          <w:caps w:val="false"/>
          <w:color w:val="4B4F59"/>
          <w:sz w:val="20"/>
          <w:szCs w:val="20"/>
        </w:rPr>
        <w:t xml:space="preserve">Broadridge is advertising a Third-Party Risk Management analyst, remote, asking one year of experience. The responsibilities are a line-by-line description of what you did at ActiveState: intake and triage of third-party requests, inherent risk assessments, due diligence, tracking documentation through SLAs. It pays $75,000 to $85,000, which tops out $9,500 under your floor.</w:t>
      </w:r>
    </w:p>
    <w:p>
      <w:pPr>
        <w:spacing w:after="120" w:before="0" w:line="300"/>
      </w:pPr>
      <w:r>
        <w:rPr>
          <w:rFonts w:ascii="Calibri" w:cs="Calibri" w:eastAsia="Calibri" w:hAnsi="Calibri"/>
          <w:b w:val="false"/>
          <w:bCs w:val="false"/>
          <w:i w:val="false"/>
          <w:iCs w:val="false"/>
          <w:caps w:val="false"/>
          <w:color w:val="4B4F59"/>
          <w:sz w:val="20"/>
          <w:szCs w:val="20"/>
        </w:rPr>
        <w:t xml:space="preserve">Crawford Thomas is advertising a GRC compliance analyst at $80,000 to $100,000, and asks for six years.</w:t>
      </w:r>
    </w:p>
    <w:p>
      <w:pPr>
        <w:spacing w:after="120" w:before="0" w:line="300"/>
      </w:pPr>
      <w:r>
        <w:rPr>
          <w:rFonts w:ascii="Calibri" w:cs="Calibri" w:eastAsia="Calibri" w:hAnsi="Calibri"/>
          <w:b w:val="false"/>
          <w:bCs w:val="false"/>
          <w:i w:val="false"/>
          <w:iCs w:val="false"/>
          <w:caps w:val="false"/>
          <w:color w:val="4B4F59"/>
          <w:sz w:val="20"/>
          <w:szCs w:val="20"/>
        </w:rPr>
        <w:t xml:space="preserve">That is the squeeze in two postings. The roles that will take eighteen months of tenure price below your floor. The roles that price above it want five or six years. This is not about whether you can do the work, because Broadridge just described your job back to you. It is about what the market pays for tenure, and it is why a credential matters more than another application: the CTPRP is the cheapest thing that moves you out of the band where tenure sets the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Meaning</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128</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Three more than yesterday</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$94,500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49</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Still open from before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123</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Including Plaid and Form Energy</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New today</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1.  </w:t>
      </w:r>
      <w:r>
        <w:rPr>
          <w:rFonts w:ascii="Georgia" w:cs="Georgia" w:eastAsia="Georgia" w:hAnsi="Georgia"/>
          <w:b w:val="false"/>
          <w:bCs w:val="false"/>
          <w:i w:val="false"/>
          <w:iCs w:val="false"/>
          <w:caps w:val="false"/>
          <w:color w:val="15171C"/>
          <w:sz w:val="26"/>
          <w:szCs w:val="26"/>
        </w:rPr>
        <w:t xml:space="preserve">Analyst, Third-Party Risk Management, Remote</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Broadridge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$75,000 - $85,000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FITS YOU, PAYS UNDER YOUR FLOOR</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Newark, NJ, listed remote   ·   first seen today</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omfw1pe232aeiafiwzmkq">
        <w:r>
          <w:rPr>
            <w:rFonts w:ascii="Consolas" w:cs="Consolas" w:eastAsia="Consolas" w:hAnsi="Consolas"/>
            <w:color w:val="1F4E63"/>
            <w:sz w:val="16"/>
            <w:szCs w:val="16"/>
            <w:u w:val="single"/>
          </w:rPr>
          <w:t xml:space="preserve">Open the posting</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closest description of your actual job in anything I have swept. Intake and triage of third-party requests, inherent risk assessments and due diligence for vendor products, tracking documentation and follow-up to SLA. One year asked, which you clear outright. Remote.</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$85,000 at the top, which is $9,500 under your floor. I am showing it rather than filtering it silently because it prices your experience honestly, and because a floor is your decision to move or hold rather than mine to apply quietly.</w:t>
      </w:r>
    </w:p>
    <w:p>
      <w:pPr>
        <w:spacing w:after="60" w:before="0"/>
        <w:ind w:left="320"/>
      </w:pPr>
      <w:r>
        <w:rPr>
          <w:rFonts w:ascii="Calibri" w:cs="Calibri" w:eastAsia="Calibri" w:hAnsi="Calibri"/>
          <w:b w:val="false"/>
          <w:bCs w:val="false"/>
          <w:i/>
          <w:iCs/>
          <w:caps w:val="false"/>
          <w:color w:val="7F838D"/>
          <w:sz w:val="18"/>
          <w:szCs w:val="18"/>
        </w:rPr>
        <w:t xml:space="preserve">“The TPRM Analyst will support the execution of the end-to-end third-party risk assessment process and help coordinate business relationships across the company.”</w:t>
      </w:r>
    </w:p>
    <w:p>
      <w:pPr>
        <w:spacing w:after="60" w:before="0"/>
        <w:ind w:left="320"/>
      </w:pPr>
      <w:r>
        <w:rPr>
          <w:rFonts w:ascii="Calibri" w:cs="Calibri" w:eastAsia="Calibri" w:hAnsi="Calibri"/>
          <w:b w:val="false"/>
          <w:bCs w:val="false"/>
          <w:i/>
          <w:iCs/>
          <w:caps w:val="false"/>
          <w:color w:val="7F838D"/>
          <w:sz w:val="18"/>
          <w:szCs w:val="18"/>
        </w:rPr>
        <w:t xml:space="preserve">“Support the intake and triage of new and existing third-party requests through TPRM systems and workflows”</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2.  </w:t>
      </w:r>
      <w:r>
        <w:rPr>
          <w:rFonts w:ascii="Georgia" w:cs="Georgia" w:eastAsia="Georgia" w:hAnsi="Georgia"/>
          <w:b w:val="false"/>
          <w:bCs w:val="false"/>
          <w:i w:val="false"/>
          <w:iCs w:val="false"/>
          <w:caps w:val="false"/>
          <w:color w:val="15171C"/>
          <w:sz w:val="26"/>
          <w:szCs w:val="26"/>
        </w:rPr>
        <w:t xml:space="preserve">Cybersecurity and GRC Compliance Analyst</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Crawford Thomas Recruiting</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$80,000 - $100,000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THE OTHER HALF OF THE SQUEEZE</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Orlando, FL   ·   first seen today</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fcc23s_d0swpdtmamchz2">
        <w:r>
          <w:rPr>
            <w:rFonts w:ascii="Consolas" w:cs="Consolas" w:eastAsia="Consolas" w:hAnsi="Consolas"/>
            <w:color w:val="1F4E63"/>
            <w:sz w:val="16"/>
            <w:szCs w:val="16"/>
            <w:u w:val="single"/>
          </w:rPr>
          <w:t xml:space="preserve">Check me</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Highest keyword match of anything new today, and the band clears your floor at the top. A recruiter posting, so the client is not named.</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Six years asked against your eighteen months, and Orlando. Listed to show the pattern rather than as something to apply to this week.</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and still where your week should go</w:t>
      </w:r>
    </w:p>
    <w:p>
      <w:pPr>
        <w:spacing w:after="120" w:before="0" w:line="300"/>
      </w:pPr>
      <w:r>
        <w:rPr>
          <w:rFonts w:ascii="Calibri" w:cs="Calibri" w:eastAsia="Calibri" w:hAnsi="Calibri"/>
          <w:b w:val="false"/>
          <w:bCs w:val="false"/>
          <w:i w:val="false"/>
          <w:iCs w:val="false"/>
          <w:caps w:val="false"/>
          <w:color w:val="4B4F59"/>
          <w:sz w:val="20"/>
          <w:szCs w:val="20"/>
        </w:rPr>
        <w:t xml:space="preserve">Both led yesterday's document and both came back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kbooij4fgtm6hsuyeasvi">
              <w:r>
                <w:rPr>
                  <w:rFonts w:ascii="Calibri" w:cs="Calibri" w:eastAsia="Calibri" w:hAnsi="Calibri"/>
                  <w:b/>
                  <w:bCs/>
                  <w:color w:val="1F4E63"/>
                  <w:sz w:val="19"/>
                  <w:szCs w:val="19"/>
                  <w:u w:val="single"/>
                </w:rPr>
                <w:t xml:space="preserve">Security Analyst, Third-Party Ecosystem Risk, Plaid</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$118,680 - $175,800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the best-matched role in your whole list, still asking four years rather than six, and still the one posting that writes the substitution you satisfy into the requirement.</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lj1r2ofgaqrw9batviuuo">
              <w:r>
                <w:rPr>
                  <w:rFonts w:ascii="Calibri" w:cs="Calibri" w:eastAsia="Calibri" w:hAnsi="Calibri"/>
                  <w:b/>
                  <w:bCs/>
                  <w:color w:val="1F4E63"/>
                  <w:sz w:val="19"/>
                  <w:szCs w:val="19"/>
                  <w:u w:val="single"/>
                </w:rPr>
                <w:t xml:space="preserve">InfoSec Analyst, AI Governance, Form Energy, Somerville MA</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$111,826 - $139,777</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Twenty minutes from you, and AI governance is still a new enough specialty that the field is small.</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vgth44qyommc-rysvsafj">
              <w:r>
                <w:rPr>
                  <w:rFonts w:ascii="Calibri" w:cs="Calibri" w:eastAsia="Calibri" w:hAnsi="Calibri"/>
                  <w:b/>
                  <w:bCs/>
                  <w:color w:val="1F4E63"/>
                  <w:sz w:val="19"/>
                  <w:szCs w:val="19"/>
                  <w:u w:val="single"/>
                </w:rPr>
                <w:t xml:space="preserve">Cybersecurity Analyst, Analogic, Salem NH</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New today. New Hampshire, three years stated, no band published. Closer to you than most of this list.</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Register for the CTPRP. I have said this three times now and today's two roles are the argument: Broadridge will take your experience and pay $85,000 for it, Crawford Thomas will pay $100,000 and wants six years. A credential is the only lever you hold that does not require waiting.</w:t>
      </w:r>
    </w:p>
    <w:p>
      <w:pPr>
        <w:spacing w:after="120" w:before="0" w:line="300"/>
      </w:pPr>
      <w:r>
        <w:rPr>
          <w:rFonts w:ascii="Calibri" w:cs="Calibri" w:eastAsia="Calibri" w:hAnsi="Calibri"/>
          <w:b w:val="false"/>
          <w:bCs w:val="false"/>
          <w:i w:val="false"/>
          <w:iCs w:val="false"/>
          <w:caps w:val="false"/>
          <w:color w:val="4B4F59"/>
          <w:sz w:val="20"/>
          <w:szCs w:val="20"/>
        </w:rPr>
        <w:t xml:space="preserve">Plaid is still the application. Nothing that arrived today displaces it.</w:t>
      </w:r>
    </w:p>
    <w:p>
      <w:pPr>
        <w:spacing w:after="120" w:before="0" w:line="300"/>
      </w:pPr>
      <w:r>
        <w:rPr>
          <w:rFonts w:ascii="Calibri" w:cs="Calibri" w:eastAsia="Calibri" w:hAnsi="Calibri"/>
          <w:b w:val="false"/>
          <w:bCs w:val="false"/>
          <w:i w:val="false"/>
          <w:iCs w:val="false"/>
          <w:caps w:val="false"/>
          <w:color w:val="4B4F59"/>
          <w:sz w:val="20"/>
          <w:szCs w:val="20"/>
        </w:rPr>
        <w:t xml:space="preserve">On Broadridge specifically: it is under your floor and I am not going to pretend otherwise. But it is remote, it asks one year, and it is your exact job. Whether $85,000 with a clean title and a remote seat beats waiting is a call about your runway, and you are better placed to make it than I am.</w:t>
      </w:r>
    </w:p>
    <w:p>
      <w:pPr>
        <w:spacing w:after="60" w:before="0" w:line="300"/>
      </w:pPr>
      <w:r>
        <w:rPr>
          <w:rFonts w:ascii="Calibri" w:cs="Calibri" w:eastAsia="Calibri" w:hAnsi="Calibri"/>
          <w:b w:val="false"/>
          <w:bCs w:val="false"/>
          <w:i w:val="false"/>
          <w:iCs w:val="false"/>
          <w:caps w:val="false"/>
          <w:color w:val="4B4F59"/>
          <w:sz w:val="20"/>
          <w:szCs w:val="20"/>
        </w:rPr>
        <w:t xml:space="preserve">Your resume rewrite is the other half of this. Nothing in today's list changes because of it, but every one of these postings gets read by somebody who subtracts 2025 from 2026 first.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mfw1pe232aeiafiwzmkq" Type="http://schemas.openxmlformats.org/officeDocument/2006/relationships/hyperlink" Target="https://www.linkedin.com/jobs/view/analyst-third-party-risk-management-tprm-remote-at-broadridge-4465875639" TargetMode="External"/><Relationship Id="rIdfcc23s_d0swpdtmamchz2" Type="http://schemas.openxmlformats.org/officeDocument/2006/relationships/hyperlink" Target="https://www.linkedin.com/jobs/view/cybersecurity-grc-compliance-analyst-at-crawford-thomas-recruiting-4321886837" TargetMode="External"/><Relationship Id="rIdkbooij4fgtm6hsuyeasvi" Type="http://schemas.openxmlformats.org/officeDocument/2006/relationships/hyperlink" Target="https://www.linkedin.com/jobs/view/security-analyst-third-party-ecosystem-risk-management-at-plaid-4453386951" TargetMode="External"/><Relationship Id="rIdlj1r2ofgaqrw9batviuuo" Type="http://schemas.openxmlformats.org/officeDocument/2006/relationships/hyperlink" Target="https://www.linkedin.com/jobs/view/information-security-analyst-ai-governance-at-form-energy-4459390199" TargetMode="External"/><Relationship Id="rIdvgth44qyommc-rysvsafj" Type="http://schemas.openxmlformats.org/officeDocument/2006/relationships/hyperlink" Target="https://www.linkedin.com/jobs/view/cybersecurity-analyst-at-analogic-4471938787"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2026-09-30T11:16:29.337Z</dcterms:created>
  <dcterms:modified xsi:type="dcterms:W3CDTF">2026-09-30T11:16:29.337Z</dcterms:modified>
</cp:coreProperties>
</file>

<file path=docProps/custom.xml><?xml version="1.0" encoding="utf-8"?>
<Properties xmlns="http://schemas.openxmlformats.org/officeDocument/2006/custom-properties" xmlns:vt="http://schemas.openxmlformats.org/officeDocument/2006/docPropsVTypes"/>
</file>