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ROLE SWEEP  ·  28 SEPTEMBER 2026</w:t>
      </w:r>
    </w:p>
    <w:p>
      <w:pPr>
        <w:pStyle w:val="Heading1"/>
        <w:spacing w:after="60"/>
      </w:pPr>
      <w:r>
        <w:rPr>
          <w:rFonts w:ascii="Georgia" w:cs="Georgia" w:eastAsia="Georgia" w:hAnsi="Georgia"/>
          <w:b w:val="false"/>
          <w:bCs w:val="false"/>
          <w:i w:val="false"/>
          <w:iCs w:val="false"/>
          <w:caps w:val="false"/>
          <w:color w:val="15171C"/>
          <w:sz w:val="40"/>
          <w:szCs w:val="40"/>
        </w:rPr>
        <w:t xml:space="preserve">A correction first, then the list</w:t>
      </w:r>
    </w:p>
    <w:p>
      <w:pPr>
        <w:spacing w:after="240"/>
      </w:pPr>
      <w:r>
        <w:rPr>
          <w:rFonts w:ascii="Calibri" w:cs="Calibri" w:eastAsia="Calibri" w:hAnsi="Calibri"/>
          <w:b w:val="false"/>
          <w:bCs w:val="false"/>
          <w:i/>
          <w:iCs/>
          <w:caps w:val="false"/>
          <w:color w:val="7F838D"/>
          <w:sz w:val="20"/>
          <w:szCs w:val="20"/>
        </w:rPr>
        <w:t xml:space="preserve">99 roles read end to end. One of Thursday's recommendations was wrong and I need you to know why before you read anything else.</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CORRECTION</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Thursday's number two was wrong</w:t>
      </w:r>
    </w:p>
    <w:p>
      <w:pPr>
        <w:spacing w:after="120" w:before="0" w:line="300"/>
      </w:pPr>
      <w:r>
        <w:rPr>
          <w:rFonts w:ascii="Calibri" w:cs="Calibri" w:eastAsia="Calibri" w:hAnsi="Calibri"/>
          <w:b w:val="false"/>
          <w:bCs w:val="false"/>
          <w:i w:val="false"/>
          <w:iCs w:val="false"/>
          <w:caps w:val="false"/>
          <w:color w:val="4B4F59"/>
          <w:sz w:val="20"/>
          <w:szCs w:val="20"/>
        </w:rPr>
        <w:t xml:space="preserve">On Thursday I ranked Millennium's Third-Party Risk Management 1 second on your list, called the band extraordinary, and wrote that "no years requirement appears anywhere in the posting". That is not true. The same posting, same job, reads: "Five or more years of hands-on third-party risk management experience."</w:t>
      </w:r>
    </w:p>
    <w:p>
      <w:pPr>
        <w:spacing w:after="120" w:before="0" w:line="300"/>
      </w:pPr>
      <w:r>
        <w:rPr>
          <w:rFonts w:ascii="Calibri" w:cs="Calibri" w:eastAsia="Calibri" w:hAnsi="Calibri"/>
          <w:b w:val="false"/>
          <w:bCs w:val="false"/>
          <w:i w:val="false"/>
          <w:iCs w:val="false"/>
          <w:caps w:val="false"/>
          <w:color w:val="4B4F59"/>
          <w:sz w:val="20"/>
          <w:szCs w:val="20"/>
        </w:rPr>
        <w:t xml:space="preserve">The reason is the exact failure I named one card below it in the same document. My tooling reads digits and misses numbers spelled as words, which is how Boston Partners slipped through as having no stated floor. I flagged that lesson about Boston Partners and published the same mistake about Millennium two cards above it. If you spent time on that application, that time is on me.</w:t>
      </w:r>
    </w:p>
    <w:p>
      <w:pPr>
        <w:spacing w:after="120" w:before="0" w:line="300"/>
      </w:pPr>
      <w:r>
        <w:rPr>
          <w:rFonts w:ascii="Calibri" w:cs="Calibri" w:eastAsia="Calibri" w:hAnsi="Calibri"/>
          <w:b w:val="false"/>
          <w:bCs w:val="false"/>
          <w:i w:val="false"/>
          <w:iCs w:val="false"/>
          <w:caps w:val="false"/>
          <w:color w:val="4B4F59"/>
          <w:sz w:val="20"/>
          <w:szCs w:val="20"/>
        </w:rPr>
        <w:t xml:space="preserve">Millennium is now in the ruled-out section below with the line quoted. Everything else in this document was read end to end by eye, not scored.</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pStyle w:val="Heading1"/>
        <w:spacing w:after="160" w:before="140"/>
      </w:pPr>
      <w:r>
        <w:rPr>
          <w:rFonts w:ascii="Georgia" w:cs="Georgia" w:eastAsia="Georgia" w:hAnsi="Georgia"/>
          <w:b w:val="false"/>
          <w:bCs w:val="false"/>
          <w:i w:val="false"/>
          <w:iCs w:val="false"/>
          <w:caps w:val="false"/>
          <w:color w:val="15171C"/>
          <w:sz w:val="34"/>
          <w:szCs w:val="34"/>
        </w:rPr>
        <w:t xml:space="preserve">What this run actually says</w:t>
      </w:r>
    </w:p>
    <w:p>
      <w:pPr>
        <w:spacing w:after="120" w:before="0" w:line="300"/>
      </w:pPr>
      <w:r>
        <w:rPr>
          <w:rFonts w:ascii="Calibri" w:cs="Calibri" w:eastAsia="Calibri" w:hAnsi="Calibri"/>
          <w:b w:val="false"/>
          <w:bCs w:val="false"/>
          <w:i w:val="false"/>
          <w:iCs w:val="false"/>
          <w:caps w:val="false"/>
          <w:color w:val="4B4F59"/>
          <w:sz w:val="20"/>
          <w:szCs w:val="20"/>
        </w:rPr>
        <w:t xml:space="preserve">Your numbers are flat against Thursday, as everyone's are. The uncomfortable part is what removing Millennium leaves behind: the roles above it on band all carry a bar of four years or more, and you are earlier than that. Beacon Bank is still the best fit on this list and it is still open, which makes this a short document with one clear instruction.</w:t>
      </w:r>
    </w:p>
    <w:tbl>
      <w:tblPr>
        <w:tblW w:type="dxa" w:w="1198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7480"/>
      </w:tblGrid>
      <w:tr>
        <w:trPr>
          <w:tblHeader/>
        </w:trPr>
        <w:tc>
          <w:tcPr>
            <w:tcW w:type="dxa" w:w="30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Measure</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This run</w:t>
            </w:r>
          </w:p>
        </w:tc>
        <w:tc>
          <w:tcPr>
            <w:tcW w:type="dxa" w:w="74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Against Thursday</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Raw cards pulled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1,869</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1,932</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Unique after dedup</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1,288</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1,292</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Past the title filter</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151</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150</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Past location</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99</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96</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Read end to end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99</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96. Every survivor, full posting text</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Publishing a band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56 of 99</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51</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Clearing your $94,500 floor</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43</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39</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Hard gated out</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4</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clearance or a certification stated as required</w:t>
            </w:r>
          </w:p>
        </w:tc>
      </w:tr>
    </w:tbl>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ONE TO APPLY TO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Tier one</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1.  </w:t>
      </w:r>
      <w:r>
        <w:rPr>
          <w:rFonts w:ascii="Georgia" w:cs="Georgia" w:eastAsia="Georgia" w:hAnsi="Georgia"/>
          <w:b w:val="false"/>
          <w:bCs w:val="false"/>
          <w:i w:val="false"/>
          <w:iCs w:val="false"/>
          <w:caps w:val="false"/>
          <w:color w:val="15171C"/>
          <w:sz w:val="26"/>
          <w:szCs w:val="26"/>
        </w:rPr>
        <w:t xml:space="preserve">Jr. Third Party Risk Analyst</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Beacon Bank</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not published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STILL THE ONLY POSTING WRITTEN AT YOUR ACTUAL LEVEL</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Pittsfield, MA, flagged remote   ·   posted still open from Thursday</w:t>
      </w:r>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One year of experience, an Associate's degree or equivalent, and risk management and compliance experience listed as preferred rather than required. Thursday's document described the work as your 95 vendor risk assessments handed back to you, and nothing has changed about that. The difference between this and everything else on your list is that it is not asking you to already have had the job.</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No band is published anywhere in the posting, so I am not going to guess at one. That is worth asking about early rather than late, because an unstated number at this level is usually below the Boston market. It has now been open since before Thursday without coming down, which is neutral information, not a warning.</w:t>
      </w:r>
    </w:p>
    <w:p>
      <w:pPr>
        <w:spacing w:after="60" w:before="0"/>
        <w:ind w:left="320"/>
      </w:pPr>
      <w:r>
        <w:rPr>
          <w:rFonts w:ascii="Calibri" w:cs="Calibri" w:eastAsia="Calibri" w:hAnsi="Calibri"/>
          <w:b w:val="false"/>
          <w:bCs w:val="false"/>
          <w:i/>
          <w:iCs/>
          <w:caps w:val="false"/>
          <w:color w:val="7F838D"/>
          <w:sz w:val="18"/>
          <w:szCs w:val="18"/>
        </w:rPr>
        <w:t xml:space="preserve">“Minimum 1+ years of banking and customer service experience.”</w:t>
      </w:r>
    </w:p>
    <w:p>
      <w:pPr>
        <w:spacing w:after="60" w:before="0"/>
        <w:ind w:left="320"/>
      </w:pPr>
      <w:r>
        <w:rPr>
          <w:rFonts w:ascii="Calibri" w:cs="Calibri" w:eastAsia="Calibri" w:hAnsi="Calibri"/>
          <w:b w:val="false"/>
          <w:bCs w:val="false"/>
          <w:i/>
          <w:iCs/>
          <w:caps w:val="false"/>
          <w:color w:val="7F838D"/>
          <w:sz w:val="18"/>
          <w:szCs w:val="18"/>
        </w:rPr>
        <w:t xml:space="preserve">“Experience in various risk management, compliance, and regulatory areas preferred.”</w:t>
      </w:r>
    </w:p>
    <w:p>
      <w:pPr>
        <w:spacing w:after="60" w:before="0"/>
        <w:ind w:left="320"/>
      </w:pPr>
      <w:r>
        <w:rPr>
          <w:rFonts w:ascii="Calibri" w:cs="Calibri" w:eastAsia="Calibri" w:hAnsi="Calibri"/>
          <w:b w:val="false"/>
          <w:bCs w:val="false"/>
          <w:i/>
          <w:iCs/>
          <w:caps w:val="false"/>
          <w:color w:val="7F838D"/>
          <w:sz w:val="18"/>
          <w:szCs w:val="18"/>
        </w:rPr>
        <w:t xml:space="preserve">“Associate's degree in business or equivalent experience.”</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WORK IS YOURS. THE YEARS ARE NOT, YET.</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stretch, named honestly</w:t>
      </w:r>
    </w:p>
    <w:p>
      <w:pPr>
        <w:pStyle w:val="Heading2"/>
        <w:pBdr>
          <w:left w:val="single" w:sz="18" w:space="10"/>
        </w:pBdr>
        <w:spacing w:after="0" w:before="300"/>
        <w:ind w:left="120"/>
      </w:pPr>
      <w:r>
        <w:rPr>
          <w:rFonts w:ascii="Consolas" w:cs="Consolas" w:eastAsia="Consolas" w:hAnsi="Consolas"/>
          <w:b/>
          <w:bCs/>
          <w:i w:val="false"/>
          <w:iCs w:val="false"/>
          <w:caps w:val="false"/>
          <w:color w:val="444444"/>
          <w:sz w:val="26"/>
          <w:szCs w:val="26"/>
        </w:rPr>
        <w:t xml:space="preserve">2.  </w:t>
      </w:r>
      <w:r>
        <w:rPr>
          <w:rFonts w:ascii="Georgia" w:cs="Georgia" w:eastAsia="Georgia" w:hAnsi="Georgia"/>
          <w:b w:val="false"/>
          <w:bCs w:val="false"/>
          <w:i w:val="false"/>
          <w:iCs w:val="false"/>
          <w:caps w:val="false"/>
          <w:color w:val="15171C"/>
          <w:sz w:val="26"/>
          <w:szCs w:val="26"/>
        </w:rPr>
        <w:t xml:space="preserve">Security Analyst, Third-Party Ecosystem Risk Management</w:t>
      </w:r>
    </w:p>
    <w:p>
      <w:pPr>
        <w:pBdr>
          <w:left w:val="single"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Plaid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$118,680 to $175,800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444444"/>
          <w:spacing w:val="24"/>
          <w:sz w:val="14"/>
          <w:szCs w:val="14"/>
        </w:rPr>
        <w:t xml:space="preserve">A FOUR-YEAR BAR, AND THE CLOSEST DESCRIPTION OF YOUR DAY JOB IN THE WHOLE SWEEP</w:t>
      </w:r>
    </w:p>
    <w:p>
      <w:pPr>
        <w:pBdr>
          <w:left w:val="single"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New York City metro, flagged remote   ·   posted 25 Sep, new this run</w:t>
      </w:r>
    </w:p>
    <w:p>
      <w:pPr>
        <w:pBdr>
          <w:left w:val="single"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Read the must-haves and it is a transcript of what you have been doing: running security risk assessments of third parties, reviewing questionnaires, SOC 2 and ISO reports, and translating them into a defensible risk rating. Then the third-party risk lifecycle, intake, tiering, exceptions, remediation tracking, periodic reassessment. Then SOC 2, ISO 27001 and NIST CSF by name. Four of your fit signals in one posting, and a band that starts twenty-four thousand above your floor.</w:t>
      </w:r>
    </w:p>
    <w:p>
      <w:pPr>
        <w:pBdr>
          <w:left w:val="single"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Four years of vendor risk management, stated as a must-have rather than a preference. You are earlier than that, and I am not going to tell you the gap is nothing. What I will say is that this is a different kind of gap from a clearance or a certification: it is a count of years against work you have demonstrably done. If you apply, lead with the ninety-five assessments and the thirty questionnaires as evidence, not as a claim.</w:t>
      </w:r>
    </w:p>
    <w:p>
      <w:pPr>
        <w:spacing w:after="60" w:before="0"/>
        <w:ind w:left="320"/>
      </w:pPr>
      <w:r>
        <w:rPr>
          <w:rFonts w:ascii="Calibri" w:cs="Calibri" w:eastAsia="Calibri" w:hAnsi="Calibri"/>
          <w:b w:val="false"/>
          <w:bCs w:val="false"/>
          <w:i/>
          <w:iCs/>
          <w:caps w:val="false"/>
          <w:color w:val="7F838D"/>
          <w:sz w:val="18"/>
          <w:szCs w:val="18"/>
        </w:rPr>
        <w:t xml:space="preserve">“4+ years of experience in vendor risk management.”</w:t>
      </w:r>
    </w:p>
    <w:p>
      <w:pPr>
        <w:spacing w:after="60" w:before="0"/>
        <w:ind w:left="320"/>
      </w:pPr>
      <w:r>
        <w:rPr>
          <w:rFonts w:ascii="Calibri" w:cs="Calibri" w:eastAsia="Calibri" w:hAnsi="Calibri"/>
          <w:b w:val="false"/>
          <w:bCs w:val="false"/>
          <w:i/>
          <w:iCs/>
          <w:caps w:val="false"/>
          <w:color w:val="7F838D"/>
          <w:sz w:val="18"/>
          <w:szCs w:val="18"/>
        </w:rPr>
        <w:t xml:space="preserve">“Experience running security risk assessments of third parties, reviewing questionnaires, SOC 2 and ISO reports, and security documentation, and translating them into a defensible risk rating.”</w:t>
      </w:r>
    </w:p>
    <w:p>
      <w:pPr>
        <w:spacing w:after="60" w:before="0"/>
        <w:ind w:left="320"/>
      </w:pPr>
      <w:r>
        <w:rPr>
          <w:rFonts w:ascii="Calibri" w:cs="Calibri" w:eastAsia="Calibri" w:hAnsi="Calibri"/>
          <w:b w:val="false"/>
          <w:bCs w:val="false"/>
          <w:i/>
          <w:iCs/>
          <w:caps w:val="false"/>
          <w:color w:val="7F838D"/>
          <w:sz w:val="18"/>
          <w:szCs w:val="18"/>
        </w:rPr>
        <w:t xml:space="preserve">“Working knowledge of SOC 2, ISO 27001, NIST CSF, and common control domains.”</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pStyle w:val="Heading1"/>
        <w:spacing w:after="160" w:before="140"/>
      </w:pPr>
      <w:r>
        <w:rPr>
          <w:rFonts w:ascii="Georgia" w:cs="Georgia" w:eastAsia="Georgia" w:hAnsi="Georgia"/>
          <w:b w:val="false"/>
          <w:bCs w:val="false"/>
          <w:i w:val="false"/>
          <w:iCs w:val="false"/>
          <w:caps w:val="false"/>
          <w:color w:val="15171C"/>
          <w:sz w:val="34"/>
          <w:szCs w:val="34"/>
        </w:rPr>
        <w:t xml:space="preserve">Ruled out, with the line that does it</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Third-Party Risk Management 1</w:t>
      </w:r>
      <w:r>
        <w:rPr>
          <w:rFonts w:ascii="Consolas" w:cs="Consolas" w:eastAsia="Consolas" w:hAnsi="Consolas"/>
          <w:b w:val="false"/>
          <w:bCs w:val="false"/>
          <w:i w:val="false"/>
          <w:iCs w:val="false"/>
          <w:caps/>
          <w:color w:val="7F838D"/>
          <w:spacing w:val="18"/>
          <w:sz w:val="15"/>
          <w:szCs w:val="15"/>
        </w:rPr>
        <w:t xml:space="preserve">     Millennium</w:t>
      </w:r>
      <w:r>
        <w:rPr>
          <w:rFonts w:ascii="Consolas" w:cs="Consolas" w:eastAsia="Consolas" w:hAnsi="Consolas"/>
          <w:b w:val="false"/>
          <w:bCs w:val="false"/>
          <w:i w:val="false"/>
          <w:iCs w:val="false"/>
          <w:caps w:val="false"/>
          <w:color w:val="7F838D"/>
          <w:sz w:val="15"/>
          <w:szCs w:val="15"/>
        </w:rPr>
        <w:t xml:space="preserve">     $175,000 to $250,000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Thursday's number two, corrected. The band is real and so is the requirement, and the requirement is three to four years beyond where you are. The word "1" in the title is a level at a hedge fund, not an entry point.</w:t>
      </w:r>
    </w:p>
    <w:p>
      <w:pPr>
        <w:spacing w:after="60" w:before="0"/>
        <w:ind w:left="320"/>
      </w:pPr>
      <w:r>
        <w:rPr>
          <w:rFonts w:ascii="Calibri" w:cs="Calibri" w:eastAsia="Calibri" w:hAnsi="Calibri"/>
          <w:b w:val="false"/>
          <w:bCs w:val="false"/>
          <w:i/>
          <w:iCs/>
          <w:caps w:val="false"/>
          <w:color w:val="7F838D"/>
          <w:sz w:val="18"/>
          <w:szCs w:val="18"/>
        </w:rPr>
        <w:t xml:space="preserve">“Five or more years of hands-on third-party risk management experience: relevant security certifications, such as CTPRP, CTPRA, CISA, or CISSP, are preferred.”</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Security Analyst</w:t>
      </w:r>
      <w:r>
        <w:rPr>
          <w:rFonts w:ascii="Consolas" w:cs="Consolas" w:eastAsia="Consolas" w:hAnsi="Consolas"/>
          <w:b w:val="false"/>
          <w:bCs w:val="false"/>
          <w:i w:val="false"/>
          <w:iCs w:val="false"/>
          <w:caps/>
          <w:color w:val="7F838D"/>
          <w:spacing w:val="18"/>
          <w:sz w:val="15"/>
          <w:szCs w:val="15"/>
        </w:rPr>
        <w:t xml:space="preserve">     QuEra Computing</w:t>
      </w:r>
      <w:r>
        <w:rPr>
          <w:rFonts w:ascii="Consolas" w:cs="Consolas" w:eastAsia="Consolas" w:hAnsi="Consolas"/>
          <w:b w:val="false"/>
          <w:bCs w:val="false"/>
          <w:i w:val="false"/>
          <w:iCs w:val="false"/>
          <w:caps w:val="false"/>
          <w:color w:val="7F838D"/>
          <w:sz w:val="15"/>
          <w:szCs w:val="15"/>
        </w:rPr>
        <w:t xml:space="preserve">     $175,000 to $200,000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The closest miss in the sweep and worth knowing about. Boston, and the experience bar is only two years, which you are within touching distance of. It falls on the second line rather than the first: this is a hands-on technical security role, not a GRC one, and it says so by naming the languages.</w:t>
      </w:r>
    </w:p>
    <w:p>
      <w:pPr>
        <w:spacing w:after="60" w:before="0"/>
        <w:ind w:left="320"/>
      </w:pPr>
      <w:r>
        <w:rPr>
          <w:rFonts w:ascii="Calibri" w:cs="Calibri" w:eastAsia="Calibri" w:hAnsi="Calibri"/>
          <w:b w:val="false"/>
          <w:bCs w:val="false"/>
          <w:i/>
          <w:iCs/>
          <w:caps w:val="false"/>
          <w:color w:val="7F838D"/>
          <w:sz w:val="18"/>
          <w:szCs w:val="18"/>
        </w:rPr>
        <w:t xml:space="preserve">“Minimum of two years of experience with security exposure in information security, systems administration, or DevOps.”</w:t>
      </w:r>
    </w:p>
    <w:p>
      <w:pPr>
        <w:spacing w:after="60" w:before="0"/>
        <w:ind w:left="320"/>
      </w:pPr>
      <w:r>
        <w:rPr>
          <w:rFonts w:ascii="Calibri" w:cs="Calibri" w:eastAsia="Calibri" w:hAnsi="Calibri"/>
          <w:b w:val="false"/>
          <w:bCs w:val="false"/>
          <w:i/>
          <w:iCs/>
          <w:caps w:val="false"/>
          <w:color w:val="7F838D"/>
          <w:sz w:val="18"/>
          <w:szCs w:val="18"/>
        </w:rPr>
        <w:t xml:space="preserve">“Proficient in at least one scripting language (Python, PowerShell, or Bash).”</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AI Risk and Compliance Analyst</w:t>
      </w:r>
      <w:r>
        <w:rPr>
          <w:rFonts w:ascii="Consolas" w:cs="Consolas" w:eastAsia="Consolas" w:hAnsi="Consolas"/>
          <w:b w:val="false"/>
          <w:bCs w:val="false"/>
          <w:i w:val="false"/>
          <w:iCs w:val="false"/>
          <w:caps/>
          <w:color w:val="7F838D"/>
          <w:spacing w:val="18"/>
          <w:sz w:val="15"/>
          <w:szCs w:val="15"/>
        </w:rPr>
        <w:t xml:space="preserve">     WHOOP</w:t>
      </w:r>
      <w:r>
        <w:rPr>
          <w:rFonts w:ascii="Consolas" w:cs="Consolas" w:eastAsia="Consolas" w:hAnsi="Consolas"/>
          <w:b w:val="false"/>
          <w:bCs w:val="false"/>
          <w:i w:val="false"/>
          <w:iCs w:val="false"/>
          <w:caps w:val="false"/>
          <w:color w:val="7F838D"/>
          <w:sz w:val="15"/>
          <w:szCs w:val="15"/>
        </w:rPr>
        <w:t xml:space="preserve">     $100,000 to $140,000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Boston, genuinely in your discipline, and six years deep. Worth watching WHOOP rather than applying, because a company hiring a senior GRC analyst this year often hires a junior one next.</w:t>
      </w:r>
    </w:p>
    <w:p>
      <w:pPr>
        <w:spacing w:after="60" w:before="0"/>
        <w:ind w:left="320"/>
      </w:pPr>
      <w:r>
        <w:rPr>
          <w:rFonts w:ascii="Calibri" w:cs="Calibri" w:eastAsia="Calibri" w:hAnsi="Calibri"/>
          <w:b w:val="false"/>
          <w:bCs w:val="false"/>
          <w:i/>
          <w:iCs/>
          <w:caps w:val="false"/>
          <w:color w:val="7F838D"/>
          <w:sz w:val="18"/>
          <w:szCs w:val="18"/>
        </w:rPr>
        <w:t xml:space="preserve">“6+ years of experience in Governance, Risk &amp; Compliance, including risk assessment, policy development, audit coordination, and third-party risk.”</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GRC Analyst, Public Sector</w:t>
      </w:r>
      <w:r>
        <w:rPr>
          <w:rFonts w:ascii="Consolas" w:cs="Consolas" w:eastAsia="Consolas" w:hAnsi="Consolas"/>
          <w:b w:val="false"/>
          <w:bCs w:val="false"/>
          <w:i w:val="false"/>
          <w:iCs w:val="false"/>
          <w:caps/>
          <w:color w:val="7F838D"/>
          <w:spacing w:val="18"/>
          <w:sz w:val="15"/>
          <w:szCs w:val="15"/>
        </w:rPr>
        <w:t xml:space="preserve">     Socure</w:t>
      </w:r>
      <w:r>
        <w:rPr>
          <w:rFonts w:ascii="Consolas" w:cs="Consolas" w:eastAsia="Consolas" w:hAnsi="Consolas"/>
          <w:b w:val="false"/>
          <w:bCs w:val="false"/>
          <w:i w:val="false"/>
          <w:iCs w:val="false"/>
          <w:caps w:val="false"/>
          <w:color w:val="7F838D"/>
          <w:sz w:val="15"/>
          <w:szCs w:val="15"/>
        </w:rPr>
        <w:t xml:space="preserve">     $120,000 to $145,000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Two gates rather than one: four years of hands-on experience, and public sector work that brings a clearance requirement with it. Either alone would be enough.</w:t>
      </w:r>
    </w:p>
    <w:p>
      <w:pPr>
        <w:spacing w:after="60" w:before="0"/>
        <w:ind w:left="320"/>
      </w:pPr>
      <w:r>
        <w:rPr>
          <w:rFonts w:ascii="Calibri" w:cs="Calibri" w:eastAsia="Calibri" w:hAnsi="Calibri"/>
          <w:b w:val="false"/>
          <w:bCs w:val="false"/>
          <w:i/>
          <w:iCs/>
          <w:caps w:val="false"/>
          <w:color w:val="7F838D"/>
          <w:sz w:val="18"/>
          <w:szCs w:val="18"/>
        </w:rPr>
        <w:t xml:space="preserve">“4+ years of hands-on cybersecurity, compliance, or identity-management experience, including demonstrated personal execution of FedRAMP.”</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pStyle w:val="Heading1"/>
        <w:spacing w:after="160" w:before="140"/>
      </w:pPr>
      <w:r>
        <w:rPr>
          <w:rFonts w:ascii="Georgia" w:cs="Georgia" w:eastAsia="Georgia" w:hAnsi="Georgia"/>
          <w:b w:val="false"/>
          <w:bCs w:val="false"/>
          <w:i w:val="false"/>
          <w:iCs w:val="false"/>
          <w:caps w:val="false"/>
          <w:color w:val="15171C"/>
          <w:sz w:val="34"/>
          <w:szCs w:val="34"/>
        </w:rPr>
        <w:t xml:space="preserve">What I would actually do with this</w:t>
      </w:r>
    </w:p>
    <w:p>
      <w:pPr>
        <w:spacing w:after="120" w:before="0" w:line="300"/>
      </w:pPr>
      <w:r>
        <w:rPr>
          <w:rFonts w:ascii="Calibri" w:cs="Calibri" w:eastAsia="Calibri" w:hAnsi="Calibri"/>
          <w:b w:val="false"/>
          <w:bCs w:val="false"/>
          <w:i w:val="false"/>
          <w:iCs w:val="false"/>
          <w:caps w:val="false"/>
          <w:color w:val="4B4F59"/>
          <w:sz w:val="20"/>
          <w:szCs w:val="20"/>
        </w:rPr>
        <w:t xml:space="preserve">Apply to Beacon Bank this week if you have not. It has survived two sweeps as the only posting on your list written for someone at your stage, and an unpublished band is a question to ask in a first conversation rather than a reason to skip it.</w:t>
      </w:r>
    </w:p>
    <w:p>
      <w:pPr>
        <w:spacing w:after="120" w:before="0" w:line="300"/>
      </w:pPr>
      <w:r>
        <w:rPr>
          <w:rFonts w:ascii="Calibri" w:cs="Calibri" w:eastAsia="Calibri" w:hAnsi="Calibri"/>
          <w:b w:val="false"/>
          <w:bCs w:val="false"/>
          <w:i w:val="false"/>
          <w:iCs w:val="false"/>
          <w:caps w:val="false"/>
          <w:color w:val="4B4F59"/>
          <w:sz w:val="20"/>
          <w:szCs w:val="20"/>
        </w:rPr>
        <w:t xml:space="preserve">Then apply to Plaid anyway. Four years against your one or two is a real gap and I am not pretending otherwise, but the must-have list describes work you have actually done rather than a credential you do not hold, and that is the only kind of gap worth arguing with. The worst outcome is silence, which costs you an hour.</w:t>
      </w:r>
    </w:p>
    <w:p>
      <w:pPr>
        <w:spacing w:after="120" w:before="0" w:line="300"/>
      </w:pPr>
      <w:r>
        <w:rPr>
          <w:rFonts w:ascii="Calibri" w:cs="Calibri" w:eastAsia="Calibri" w:hAnsi="Calibri"/>
          <w:b w:val="false"/>
          <w:bCs w:val="false"/>
          <w:i w:val="false"/>
          <w:iCs w:val="false"/>
          <w:caps w:val="false"/>
          <w:color w:val="4B4F59"/>
          <w:sz w:val="20"/>
          <w:szCs w:val="20"/>
        </w:rPr>
        <w:t xml:space="preserve">On QuEra: if you want the Boston market at $175,000 rather than the junior market, a scripting language is the thing standing in the way, and it is learnable in a way that four years of tenure is not. That is not advice for this week. It is the answer to what to do with the next six months.</w:t>
      </w:r>
    </w:p>
    <w:p>
      <w:pPr>
        <w:spacing w:after="120" w:before="0" w:line="300"/>
      </w:pPr>
      <w:r>
        <w:rPr>
          <w:rFonts w:ascii="Calibri" w:cs="Calibri" w:eastAsia="Calibri" w:hAnsi="Calibri"/>
          <w:b w:val="false"/>
          <w:bCs w:val="false"/>
          <w:i w:val="false"/>
          <w:iCs w:val="false"/>
          <w:caps w:val="false"/>
          <w:color w:val="4B4F59"/>
          <w:sz w:val="20"/>
          <w:szCs w:val="20"/>
        </w:rPr>
        <w:t xml:space="preserve">One open question I have asked twice and still do not have an answer to: have you registered for the CISA, and is there an exam date? Two of the four roles above name it as preferred. It is the cheapest thing on this list that moves you, and I cannot tell you whether it is in motion.</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2026-09-28T10:44:37.647Z</dcterms:created>
  <dcterms:modified xsi:type="dcterms:W3CDTF">2026-09-28T10:44:37.647Z</dcterms:modified>
</cp:coreProperties>
</file>

<file path=docProps/custom.xml><?xml version="1.0" encoding="utf-8"?>
<Properties xmlns="http://schemas.openxmlformats.org/officeDocument/2006/custom-properties" xmlns:vt="http://schemas.openxmlformats.org/officeDocument/2006/docPropsVTypes"/>
</file>