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center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32"/>
          <w:szCs w:val="32"/>
          <w:rtl w:val="0"/>
        </w:rPr>
        <w:t xml:space="preserve">ROBERT J. SHAKER II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rshaker2@gmail.com  ·  508-615-0506  ·  linkedin.com/in/rshaker2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KEY HIGHLIGHTS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tl w:val="0"/>
        </w:rPr>
        <w:t xml:space="preserve">30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+ years of expertise in </w:t>
      </w:r>
      <w:r>
        <w:rPr>
          <w:rtl w:val="0"/>
        </w:rPr>
        <w:t xml:space="preserve">cybersecurity,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open source, and software supply chain security, with deep domain experience across financial services, healthcare, and enterprise software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Across four PE-backed businesses, grew a managed security line from $150M to $</w:t>
      </w:r>
      <w:r>
        <w:rPr>
          <w:rtl w:val="0"/>
        </w:rPr>
        <w:t xml:space="preserve">2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50M and built managed detection and response from zero to $100M, at 12-50% YoY growth, while improving margins from negative EBITDA to profitability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AI transformation programs at scale, deploying cross functional AI-driven tooling that reduced ship times by 75%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Built and restructured high-performing engineering and product organizations from the ground up, scaling teams from zero to </w:t>
      </w:r>
      <w:r>
        <w:rPr>
          <w:rtl w:val="0"/>
        </w:rPr>
        <w:t xml:space="preserve">fifty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Deep GTM and analyst influence experience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repositioning lagging products to category leadership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Drives measurable customer retention improvements from 60% to &gt;</w:t>
      </w:r>
      <w:r>
        <w:rPr>
          <w:rtl w:val="0"/>
        </w:rPr>
        <w:t xml:space="preserve">9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0% through product and service-led engagement strategies</w:t>
      </w:r>
    </w:p>
    <w:p w:rsidR="00000000" w:rsidDel="00000000" w:rsidP="00000000" w:rsidRDefault="00000000" w:rsidRPr="00000000" w14:paraId="0000000B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EXPERIENCE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pBdr>
          <w:bottom w:color="999999" w:space="0" w:sz="6" w:val="single"/>
        </w:pBdr>
        <w:spacing w:after="100" w:before="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10A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i w:val="1"/>
          <w:iCs w:val="1"/>
          <w:color w:val="111111"/>
          <w:sz w:val="20"/>
          <w:szCs w:val="20"/>
          <w:rtl w:val="0"/>
        </w:rPr>
        <w:t xml:space="preserve">Special Projects, Office of the Board</w:t>
      </w:r>
      <w:r>
        <w:rPr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May 2026 – Present</w:t>
      </w:r>
      <w:r>
        <w:rPr>
          <w:rtl w:val="0"/>
        </w:rPr>
      </w:r>
    </w:p>
    <w:p w:rsidR="00000000" w:rsidDel="00000000" w:rsidP="00000000" w:rsidRDefault="00000000" w:rsidRPr="00000000" w14:paraId="0000010B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Confidential AI initiatives, engaged and directed by the board</w:t>
      </w:r>
      <w:r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Retained by the board following the CPTO mandate, reporting directly to the board rather than through the executive team.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Leading confidential AI initiatives; scope and outcomes are under NDA and can be discussed in general terms.</w:t>
      </w:r>
    </w:p>
    <w:p w:rsidR="00000000" w:rsidDel="00000000" w:rsidP="00000000" w:rsidRDefault="00000000" w:rsidRPr="00000000" w14:paraId="0000010E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ActiveState, </w:t>
      </w:r>
      <w:r>
        <w:rPr>
          <w:i w:val="1"/>
          <w:iCs w:val="1"/>
          <w:color w:val="111111"/>
          <w:sz w:val="20"/>
          <w:szCs w:val="20"/>
          <w:rtl w:val="0"/>
        </w:rPr>
        <w:t xml:space="preserve">Chief Product and Technology Officer</w:t>
      </w:r>
      <w:r>
        <w:rPr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2025 – May 2026</w:t>
      </w:r>
      <w:r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Enterprise open-source runtime management &amp; software supply chain security</w:t>
      </w:r>
      <w:r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Restructured the product and engineering team into a high-performing AI organization, cutting product development cycle time by 65%.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Rebuilt Gartner analyst narrative around SBOM integrity, runtime lifecycle, and supply chain risk.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Drove AI strategy: MCP architecture, Slack-integrated engineering intake, and AI-assisted product management and coding.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Led roadmap acceleration that cut time to market by 85% and delivered the company's first production-ready products.</w:t>
      </w:r>
    </w:p>
    <w:p w:rsidR="00000000" w:rsidDel="00000000" w:rsidP="00000000" w:rsidRDefault="00000000" w:rsidRPr="00000000" w14:paraId="00000014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Trellix,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VP, XDR Product Management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2024 – Jul 2025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Portfolio: Endpoint Protection, EDR (SaaS/on-prem/air-gapped), Cloud Workload Security, ePO, XDR, Policy Auditor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Defined XDR roadmap that unified fragmented FireEye/McAfee endpoint lines into a coherent strategy.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the AI native analyst within the endpoint portfolio that reduced analyst investigation times.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Worked closely with analysts to transform Trellix's position from lagging to thought leader in the space.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Advised on Trellix MDR service creation which compressed time-to-value from years to months.</w:t>
      </w:r>
    </w:p>
    <w:p w:rsidR="00000000" w:rsidDel="00000000" w:rsidP="00000000" w:rsidRDefault="00000000" w:rsidRPr="00000000" w14:paraId="0000001A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Malwarebytes,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VP, Products &amp; Managed Services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Jul 2021 – Sep 2024</w:t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P&amp;L ownership; built MDR business from concept to profitability</w:t>
      </w:r>
      <w:r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Refocused portfolio from multi-segment sprawl to disciplined SMB strategy.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>
          <w:u w:val="none"/>
        </w:rPr>
      </w:pPr>
      <w:r>
        <w:rPr>
          <w:rtl w:val="0"/>
        </w:rPr>
        <w:t xml:space="preserve">Founded and launched the MDR business, growing it from zero to $10M, i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mprov</w:t>
      </w:r>
      <w:r>
        <w:rPr>
          <w:rtl w:val="0"/>
        </w:rPr>
        <w:t xml:space="preserve">ing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unit economics by 60%, margins over 90%, improved EBITDA and customer retention from ~60% to &gt;90%.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Reduced time-to-market from years to months through reformed product management and engineering processes.</w:t>
      </w:r>
    </w:p>
    <w:p w:rsidR="00000000" w:rsidDel="00000000" w:rsidP="00000000" w:rsidRDefault="00000000" w:rsidRPr="00000000" w14:paraId="0000001F">
      <w:pPr>
        <w:tabs>
          <w:tab w:val="right" w:leader="none" w:pos="10080"/>
        </w:tabs>
        <w:spacing w:after="0" w:before="16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 / NortonLifeLock,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Director, Product and Services PM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2015 – Jun 2021</w:t>
      </w:r>
      <w:r>
        <w:rPr>
          <w:rtl w:val="0"/>
        </w:rPr>
      </w:r>
    </w:p>
    <w:p w:rsidR="00000000" w:rsidDel="00000000" w:rsidP="00000000" w:rsidRDefault="00000000" w:rsidRPr="00000000" w14:paraId="00000020">
      <w:pPr>
        <w:spacing w:after="80" w:before="20" w:lineRule="auto"/>
        <w:rPr/>
      </w:pP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333333"/>
          <w:sz w:val="17"/>
          <w:szCs w:val="17"/>
          <w:rtl w:val="0"/>
        </w:rPr>
        <w:t xml:space="preserve">EDR, Network Forensics, Cyber Insurance, Safe Search, Norton for Gamers</w:t>
      </w:r>
      <w:r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5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Launched </w:t>
      </w:r>
      <w:r>
        <w:rPr>
          <w:rtl w:val="0"/>
        </w:rPr>
        <w:t xml:space="preserve">5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 managed services and products: grew managed network forensics from $150M to $250M, built managed detection and response from zero to $100M, built incident response and the cyber insurance center from zero to $10M, and contributed to the overall business reaching $500M at ~12% YoY growth. Acquired by Broadcom/Accenture, </w:t>
      </w:r>
      <w:r>
        <w:rPr>
          <w:rtl w:val="0"/>
        </w:rPr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  <w:t xml:space="preserve"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/>
      </w:r>
      <w:r>
        <w:rPr>
          <w:rtl w:val="0"/>
        </w:rPr>
        <w:t xml:space="preserve">Aon and HLC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Symantec,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Field CTO</w:t>
      </w:r>
      <w:r>
        <w:rPr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Jan 2011 – Oct 2015</w:t>
      </w:r>
      <w:r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Wellington Management Company &amp; Trust Bank,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VP &amp; CISO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  <w:t xml:space="preserve"> 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Oct 2003 – Jan 2011</w:t>
      </w:r>
      <w:r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10080"/>
        </w:tabs>
        <w:spacing w:after="0" w:before="40" w:lin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0"/>
          <w:color w:val="111111"/>
          <w:sz w:val="20"/>
          <w:szCs w:val="20"/>
          <w:rtl w:val="0"/>
        </w:rPr>
        <w:t xml:space="preserve">Burntsand, </w:t>
      </w:r>
      <w:r>
        <w:rPr>
          <w:rFonts w:ascii="Calibri" w:cs="Calibri" w:eastAsia="Calibri" w:hAnsi="Calibri"/>
          <w:b w:val="0"/>
          <w:bCs w:val="0"/>
          <w:i w:val="1"/>
          <w:iCs w:val="1"/>
          <w:smallCaps w:val="0"/>
          <w:color w:val="111111"/>
          <w:sz w:val="20"/>
          <w:szCs w:val="20"/>
          <w:rtl w:val="0"/>
        </w:rPr>
        <w:t xml:space="preserve">Security Solutions Director</w:t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111111"/>
          <w:sz w:val="20"/>
          <w:szCs w:val="20"/>
          <w:rtl w:val="0"/>
        </w:rPr>
        <w:tab/>
      </w: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333333"/>
          <w:sz w:val="18"/>
          <w:szCs w:val="18"/>
          <w:rtl w:val="0"/>
        </w:rPr>
        <w:t xml:space="preserve">Sep 1999 – Oct 2003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40" w:lineRule="auto"/>
        <w:rPr/>
      </w:pPr>
      <w:r>
        <w:rPr>
          <w:rFonts w:ascii="Calibri" w:cs="Calibri" w:eastAsia="Calibri" w:hAnsi="Calibri"/>
          <w:b w:val="1"/>
          <w:bCs w:val="1"/>
          <w:i w:val="0"/>
          <w:iCs w:val="0"/>
          <w:smallCaps w:val="1"/>
          <w:color w:val="111111"/>
          <w:sz w:val="20"/>
          <w:szCs w:val="20"/>
          <w:rtl w:val="0"/>
        </w:rPr>
        <w:t xml:space="preserve">EDUCATION &amp; CREDENTIALS</w:t>
      </w:r>
      <w:r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B.S., University of Massachusetts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260" w:right="0" w:hanging="200"/>
        <w:jc w:val="left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19"/>
          <w:szCs w:val="19"/>
          <w:u w:val="none"/>
          <w:shd w:fill="auto" w:val="clear"/>
          <w:vertAlign w:val="baseline"/>
          <w:rtl w:val="0"/>
        </w:rPr>
        <w:t xml:space="preserve">Patent: US 10,466,924 (Systems and Methods for Generating Memory Images of Computing Devices)</w:t>
      </w:r>
    </w:p>
    <w:sectPr>
      <w:pgSz w:h="15840" w:w="12240" w:orient="portrait"/>
      <w:pgMar w:bottom="720" w:top="720" w:left="720" w:right="720" w:header="480" w:footer="48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sz w:val="19"/>
        <w:szCs w:val="19"/>
      </w:rPr>
    </w:rPrDefault>
    <w:pPrDefault>
      <w:pPr>
        <w:spacing w:line="25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333333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mVWG6AFBxby0JIK5JZg4hjRlmw==">CgMxLjA4AHIhMUZ3dlVtT3AzY3NMU3I0NVA3UEx3S3dVeGtmNTNrUi1W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2026-09-17T10:50:00.612Z</dcterms:created>
  <dc:creator>Robert J. Shaker II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