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onsolas" w:cs="Consolas" w:eastAsia="Consolas" w:hAnsi="Consolas"/>
          <w:b/>
          <w:bCs/>
          <w:i w:val="false"/>
          <w:iCs w:val="false"/>
          <w:caps/>
          <w:color w:val="1F4E63"/>
          <w:spacing w:val="30"/>
          <w:sz w:val="15"/>
          <w:szCs w:val="15"/>
        </w:rPr>
        <w:t xml:space="preserve">RECRUITING REPORT  ·  28 SEPTEMBER 2026  ·  FIRST RUN</w:t>
      </w:r>
    </w:p>
    <w:p>
      <w:pPr>
        <w:pStyle w:val="Heading1"/>
        <w:spacing w:after="60"/>
      </w:pPr>
      <w:r>
        <w:rPr>
          <w:rFonts w:ascii="Georgia" w:cs="Georgia" w:eastAsia="Georgia" w:hAnsi="Georgia"/>
          <w:b w:val="false"/>
          <w:bCs w:val="false"/>
          <w:i w:val="false"/>
          <w:iCs w:val="false"/>
          <w:caps w:val="false"/>
          <w:color w:val="15171C"/>
          <w:sz w:val="40"/>
          <w:szCs w:val="40"/>
        </w:rPr>
        <w:t xml:space="preserve">The money is wide open. The calendar is what closes it.</w:t>
      </w:r>
    </w:p>
    <w:p>
      <w:pPr>
        <w:spacing w:after="240"/>
      </w:pPr>
      <w:r>
        <w:rPr>
          <w:rFonts w:ascii="Calibri" w:cs="Calibri" w:eastAsia="Calibri" w:hAnsi="Calibri"/>
          <w:b w:val="false"/>
          <w:bCs w:val="false"/>
          <w:i/>
          <w:iCs/>
          <w:caps w:val="false"/>
          <w:color w:val="7F838D"/>
          <w:sz w:val="20"/>
          <w:szCs w:val="20"/>
        </w:rPr>
        <w:t xml:space="preserve">148 roles read end to end. 83 of the 85 that publish a band clear your floor. What actually rules you out is a single number, and it is not a salary.</w:t>
      </w:r>
    </w:p>
    <w:p>
      <w:pPr>
        <w:pBdr>
          <w:bottom w:val="single" w:color="15171C" w:sz="12"/>
        </w:pBdr>
        <w:spacing w:after="0" w:before="360"/>
      </w:pPr>
      <w:r>
        <w:rPr>
          <w:rFonts w:ascii="Calibri" w:cs="Calibri" w:eastAsia="Calibri" w:hAnsi="Calibri"/>
          <w:b w:val="false"/>
          <w:bCs w:val="false"/>
          <w:i w:val="false"/>
          <w:iCs w:val="false"/>
          <w:caps w:val="false"/>
          <w:color w:val="444444"/>
          <w:sz w:val="2"/>
          <w:szCs w:val="2"/>
        </w:rPr>
        <w:t xml:space="preserve"/>
      </w:r>
    </w:p>
    <w:p>
      <w:pPr>
        <w:spacing w:after="40" w:before="140"/>
      </w:pPr>
      <w:r>
        <w:rPr>
          <w:rFonts w:ascii="Consolas" w:cs="Consolas" w:eastAsia="Consolas" w:hAnsi="Consolas"/>
          <w:b/>
          <w:bCs/>
          <w:i w:val="false"/>
          <w:iCs w:val="false"/>
          <w:caps/>
          <w:color w:val="1F4E63"/>
          <w:spacing w:val="30"/>
          <w:sz w:val="15"/>
          <w:szCs w:val="15"/>
        </w:rPr>
        <w:t xml:space="preserve">READ THIS FIRST</w:t>
      </w:r>
    </w:p>
    <w:p>
      <w:pPr>
        <w:pStyle w:val="Heading1"/>
        <w:spacing w:after="160" w:before="0"/>
      </w:pPr>
      <w:r>
        <w:rPr>
          <w:rFonts w:ascii="Georgia" w:cs="Georgia" w:eastAsia="Georgia" w:hAnsi="Georgia"/>
          <w:b w:val="false"/>
          <w:bCs w:val="false"/>
          <w:i w:val="false"/>
          <w:iCs w:val="false"/>
          <w:caps w:val="false"/>
          <w:color w:val="15171C"/>
          <w:sz w:val="34"/>
          <w:szCs w:val="34"/>
        </w:rPr>
        <w:t xml:space="preserve">How this is calibrated, and where to correct me</w:t>
      </w:r>
    </w:p>
    <w:p>
      <w:pPr>
        <w:spacing w:after="120" w:before="0" w:line="300"/>
      </w:pPr>
      <w:r>
        <w:rPr>
          <w:rFonts w:ascii="Calibri" w:cs="Calibri" w:eastAsia="Calibri" w:hAnsi="Calibri"/>
          <w:b w:val="false"/>
          <w:bCs w:val="false"/>
          <w:i w:val="false"/>
          <w:iCs w:val="false"/>
          <w:caps w:val="false"/>
          <w:color w:val="4B4F59"/>
          <w:sz w:val="20"/>
          <w:szCs w:val="20"/>
        </w:rPr>
        <w:t xml:space="preserve">This is your first run, so the search settings are worth stating plainly rather than leaving you to infer them from the results. You are being searched as Director through VP Product, anywhere in the United States including remote, against a $200,000 base floor. Chief titles are deliberately excluded. If any of that is wrong, say so and it changes on Thursday.</w:t>
      </w:r>
    </w:p>
    <w:p>
      <w:pPr>
        <w:spacing w:after="120" w:before="0" w:line="300"/>
      </w:pPr>
      <w:r>
        <w:rPr>
          <w:rFonts w:ascii="Calibri" w:cs="Calibri" w:eastAsia="Calibri" w:hAnsi="Calibri"/>
          <w:b w:val="false"/>
          <w:bCs w:val="false"/>
          <w:i w:val="false"/>
          <w:iCs w:val="false"/>
          <w:caps w:val="false"/>
          <w:color w:val="4B4F59"/>
          <w:sz w:val="20"/>
          <w:szCs w:val="20"/>
        </w:rPr>
        <w:t xml:space="preserve">Your credential is being read as platform transformation: taking companies off legacy products and onto new ones, which you have done at three of four employers, plus a gross revenue retention turnaround from roughly 65 to 87 percent across a $50M to $150M ARR portfolio. The pharmacy platform at $200M in actual first-year revenue is the number that opens doors here.</w:t>
      </w:r>
    </w:p>
    <w:tbl>
      <w:tblPr>
        <w:tblW w:type="dxa" w:w="1198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7480"/>
      </w:tblGrid>
      <w:tr>
        <w:trPr>
          <w:tblHeader/>
        </w:trPr>
        <w:tc>
          <w:tcPr>
            <w:tcW w:type="dxa" w:w="3000"/>
            <w:tcBorders>
              <w:top w:val="single" w:color="1F4E63" w:sz="4"/>
              <w:left w:val="single" w:color="1F4E63" w:sz="4"/>
              <w:bottom w:val="single" w:color="1F4E63" w:sz="4"/>
              <w:right w:val="single" w:color="1F4E63" w:sz="4"/>
            </w:tcBorders>
            <w:shd w:fill="1F4E63"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Measure</w:t>
            </w:r>
          </w:p>
        </w:tc>
        <w:tc>
          <w:tcPr>
            <w:tcW w:type="dxa" w:w="1500"/>
            <w:tcBorders>
              <w:top w:val="single" w:color="1F4E63" w:sz="4"/>
              <w:left w:val="single" w:color="1F4E63" w:sz="4"/>
              <w:bottom w:val="single" w:color="1F4E63" w:sz="4"/>
              <w:right w:val="single" w:color="1F4E63" w:sz="4"/>
            </w:tcBorders>
            <w:shd w:fill="1F4E63"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This run</w:t>
            </w:r>
          </w:p>
        </w:tc>
        <w:tc>
          <w:tcPr>
            <w:tcW w:type="dxa" w:w="7480"/>
            <w:tcBorders>
              <w:top w:val="single" w:color="1F4E63" w:sz="4"/>
              <w:left w:val="single" w:color="1F4E63" w:sz="4"/>
              <w:bottom w:val="single" w:color="1F4E63" w:sz="4"/>
              <w:right w:val="single" w:color="1F4E63" w:sz="4"/>
            </w:tcBorders>
            <w:shd w:fill="1F4E63"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What it means</w:t>
            </w:r>
          </w:p>
        </w:tc>
      </w:tr>
      <w:tr>
        <w:tc>
          <w:tcPr>
            <w:tcW w:type="dxa" w:w="30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5171C"/>
                <w:sz w:val="19"/>
                <w:szCs w:val="19"/>
              </w:rPr>
              <w:t xml:space="preserve">Raw cards pulled</w:t>
            </w:r>
          </w:p>
        </w:tc>
        <w:tc>
          <w:tcPr>
            <w:tcW w:type="dxa" w:w="15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1,676</w:t>
            </w:r>
          </w:p>
        </w:tc>
        <w:tc>
          <w:tcPr>
            <w:tcW w:type="dxa" w:w="748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twelve queries across two channels</w:t>
            </w:r>
          </w:p>
        </w:tc>
      </w:tr>
      <w:tr>
        <w:tc>
          <w:tcPr>
            <w:tcW w:type="dxa" w:w="300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5171C"/>
                <w:sz w:val="19"/>
                <w:szCs w:val="19"/>
              </w:rPr>
              <w:t xml:space="preserve">Unique after dedup</w:t>
            </w:r>
          </w:p>
        </w:tc>
        <w:tc>
          <w:tcPr>
            <w:tcW w:type="dxa" w:w="150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1,096</w:t>
            </w:r>
          </w:p>
        </w:tc>
        <w:tc>
          <w:tcPr>
            <w:tcW w:type="dxa" w:w="748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
            </w:r>
          </w:p>
        </w:tc>
      </w:tr>
      <w:tr>
        <w:tc>
          <w:tcPr>
            <w:tcW w:type="dxa" w:w="30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5171C"/>
                <w:sz w:val="19"/>
                <w:szCs w:val="19"/>
              </w:rPr>
              <w:t xml:space="preserve">Past the title filter</w:t>
            </w:r>
          </w:p>
        </w:tc>
        <w:tc>
          <w:tcPr>
            <w:tcW w:type="dxa" w:w="15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171</w:t>
            </w:r>
          </w:p>
        </w:tc>
        <w:tc>
          <w:tcPr>
            <w:tcW w:type="dxa" w:w="748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Director, Senior Director, VP and Head of, product and platform only</w:t>
            </w:r>
          </w:p>
        </w:tc>
      </w:tr>
      <w:tr>
        <w:tc>
          <w:tcPr>
            <w:tcW w:type="dxa" w:w="300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5171C"/>
                <w:sz w:val="19"/>
                <w:szCs w:val="19"/>
              </w:rPr>
              <w:t xml:space="preserve">Past location</w:t>
            </w:r>
          </w:p>
        </w:tc>
        <w:tc>
          <w:tcPr>
            <w:tcW w:type="dxa" w:w="150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148</w:t>
            </w:r>
          </w:p>
        </w:tc>
        <w:tc>
          <w:tcPr>
            <w:tcW w:type="dxa" w:w="748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United States, remote or on-site</w:t>
            </w:r>
          </w:p>
        </w:tc>
      </w:tr>
      <w:tr>
        <w:tc>
          <w:tcPr>
            <w:tcW w:type="dxa" w:w="30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5171C"/>
                <w:sz w:val="19"/>
                <w:szCs w:val="19"/>
              </w:rPr>
              <w:t xml:space="preserve">Read end to end</w:t>
            </w:r>
          </w:p>
        </w:tc>
        <w:tc>
          <w:tcPr>
            <w:tcW w:type="dxa" w:w="15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148</w:t>
            </w:r>
          </w:p>
        </w:tc>
        <w:tc>
          <w:tcPr>
            <w:tcW w:type="dxa" w:w="748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every survivor, full posting text</w:t>
            </w:r>
          </w:p>
        </w:tc>
      </w:tr>
      <w:tr>
        <w:tc>
          <w:tcPr>
            <w:tcW w:type="dxa" w:w="300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5171C"/>
                <w:sz w:val="19"/>
                <w:szCs w:val="19"/>
              </w:rPr>
              <w:t xml:space="preserve">Publishing a band</w:t>
            </w:r>
          </w:p>
        </w:tc>
        <w:tc>
          <w:tcPr>
            <w:tcW w:type="dxa" w:w="150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85 of 148</w:t>
            </w:r>
          </w:p>
        </w:tc>
        <w:tc>
          <w:tcPr>
            <w:tcW w:type="dxa" w:w="748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better than half, which is unusually good disclosure</w:t>
            </w:r>
          </w:p>
        </w:tc>
      </w:tr>
      <w:tr>
        <w:tc>
          <w:tcPr>
            <w:tcW w:type="dxa" w:w="30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5171C"/>
                <w:sz w:val="19"/>
                <w:szCs w:val="19"/>
              </w:rPr>
              <w:t xml:space="preserve">Clearing your $200,000 floor</w:t>
            </w:r>
          </w:p>
        </w:tc>
        <w:tc>
          <w:tcPr>
            <w:tcW w:type="dxa" w:w="15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83 of 85</w:t>
            </w:r>
          </w:p>
        </w:tc>
        <w:tc>
          <w:tcPr>
            <w:tcW w:type="dxa" w:w="748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ninety-eight percent. Comp is not your filter</w:t>
            </w:r>
          </w:p>
        </w:tc>
      </w:tr>
      <w:tr>
        <w:tc>
          <w:tcPr>
            <w:tcW w:type="dxa" w:w="300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5171C"/>
                <w:sz w:val="19"/>
                <w:szCs w:val="19"/>
              </w:rPr>
              <w:t xml:space="preserve">Hard gated out</w:t>
            </w:r>
          </w:p>
        </w:tc>
        <w:tc>
          <w:tcPr>
            <w:tcW w:type="dxa" w:w="150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6</w:t>
            </w:r>
          </w:p>
        </w:tc>
        <w:tc>
          <w:tcPr>
            <w:tcW w:type="dxa" w:w="748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requirements that disqualify before comp matters</w:t>
            </w:r>
          </w:p>
        </w:tc>
      </w:tr>
    </w:tbl>
    <w:p>
      <w:r>
        <w:br w:type="page"/>
      </w:r>
    </w:p>
    <w:p>
      <w:pPr>
        <w:pBdr>
          <w:bottom w:val="single" w:color="15171C" w:sz="12"/>
        </w:pBdr>
        <w:spacing w:after="0" w:before="360"/>
      </w:pPr>
      <w:r>
        <w:rPr>
          <w:rFonts w:ascii="Calibri" w:cs="Calibri" w:eastAsia="Calibri" w:hAnsi="Calibri"/>
          <w:b w:val="false"/>
          <w:bCs w:val="false"/>
          <w:i w:val="false"/>
          <w:iCs w:val="false"/>
          <w:caps w:val="false"/>
          <w:color w:val="444444"/>
          <w:sz w:val="2"/>
          <w:szCs w:val="2"/>
        </w:rPr>
        <w:t xml:space="preserve"/>
      </w:r>
    </w:p>
    <w:p>
      <w:pPr>
        <w:spacing w:after="40" w:before="140"/>
      </w:pPr>
      <w:r>
        <w:rPr>
          <w:rFonts w:ascii="Consolas" w:cs="Consolas" w:eastAsia="Consolas" w:hAnsi="Consolas"/>
          <w:b/>
          <w:bCs/>
          <w:i w:val="false"/>
          <w:iCs w:val="false"/>
          <w:caps/>
          <w:color w:val="1F4E63"/>
          <w:spacing w:val="30"/>
          <w:sz w:val="15"/>
          <w:szCs w:val="15"/>
        </w:rPr>
        <w:t xml:space="preserve">IT IS NOT WHAT THE RESUME AUDIT PREDICTED</w:t>
      </w:r>
    </w:p>
    <w:p>
      <w:pPr>
        <w:pStyle w:val="Heading1"/>
        <w:spacing w:after="160" w:before="0"/>
      </w:pPr>
      <w:r>
        <w:rPr>
          <w:rFonts w:ascii="Georgia" w:cs="Georgia" w:eastAsia="Georgia" w:hAnsi="Georgia"/>
          <w:b w:val="false"/>
          <w:bCs w:val="false"/>
          <w:i w:val="false"/>
          <w:iCs w:val="false"/>
          <w:caps w:val="false"/>
          <w:color w:val="15171C"/>
          <w:sz w:val="34"/>
          <w:szCs w:val="34"/>
        </w:rPr>
        <w:t xml:space="preserve">The actual constraint</w:t>
      </w:r>
    </w:p>
    <w:p>
      <w:pPr>
        <w:spacing w:after="120" w:before="0" w:line="300"/>
      </w:pPr>
      <w:r>
        <w:rPr>
          <w:rFonts w:ascii="Calibri" w:cs="Calibri" w:eastAsia="Calibri" w:hAnsi="Calibri"/>
          <w:b w:val="false"/>
          <w:bCs w:val="false"/>
          <w:i w:val="false"/>
          <w:iCs w:val="false"/>
          <w:caps w:val="false"/>
          <w:color w:val="4B4F59"/>
          <w:sz w:val="20"/>
          <w:szCs w:val="20"/>
        </w:rPr>
        <w:t xml:space="preserve">The September audit expected people leadership to be the wall: nine of sixteen roles it looked at gated on years spent managing product managers. That is now answerable. You had three direct reports at Malwarebytes and led a fifteen-person cross-functional team, and a posting asking for experience in a people management role gets a yes with a number behind it.</w:t>
      </w:r>
    </w:p>
    <w:p>
      <w:pPr>
        <w:spacing w:after="120" w:before="0" w:line="300"/>
      </w:pPr>
      <w:r>
        <w:rPr>
          <w:rFonts w:ascii="Calibri" w:cs="Calibri" w:eastAsia="Calibri" w:hAnsi="Calibri"/>
          <w:b w:val="false"/>
          <w:bCs w:val="false"/>
          <w:i w:val="false"/>
          <w:iCs w:val="false"/>
          <w:caps w:val="false"/>
          <w:color w:val="4B4F59"/>
          <w:sz w:val="20"/>
          <w:szCs w:val="20"/>
        </w:rPr>
        <w:t xml:space="preserve">What I found instead, reading this week's list, is that the binding gate is the calendar. Five of the twelve best-paid roles on your list ask for twelve or more years in product, and you are at eleven. That is not a gap you can argue with, it is a gap you wait out, and it closes some time next year. The roles you can have this week are the ones that say ten.</w:t>
      </w:r>
    </w:p>
    <w:p>
      <w:pPr>
        <w:spacing w:after="120" w:before="0" w:line="300"/>
      </w:pPr>
      <w:r>
        <w:rPr>
          <w:rFonts w:ascii="Calibri" w:cs="Calibri" w:eastAsia="Calibri" w:hAnsi="Calibri"/>
          <w:b w:val="false"/>
          <w:bCs w:val="false"/>
          <w:i w:val="false"/>
          <w:iCs w:val="false"/>
          <w:caps w:val="false"/>
          <w:color w:val="4B4F59"/>
          <w:sz w:val="20"/>
          <w:szCs w:val="20"/>
        </w:rPr>
        <w:t xml:space="preserve">The second gate is domain, and it bites harder at the top. The highest band in the whole sweep wants deep insurance expertise. The one after it wants OLTP database internals. The security VP role wants vulnerability and exposure management specifically, which is a different discipline from the consumer and MSP endpoint security you ran. Breadth across four industries is a real asset at the interview stage and it is not what the top-of-market screens on.</w:t>
      </w:r>
    </w:p>
    <w:p>
      <w:r>
        <w:br w:type="page"/>
      </w:r>
    </w:p>
    <w:p>
      <w:pPr>
        <w:pBdr>
          <w:bottom w:val="single" w:color="15171C" w:sz="12"/>
        </w:pBdr>
        <w:spacing w:after="0" w:before="360"/>
      </w:pPr>
      <w:r>
        <w:rPr>
          <w:rFonts w:ascii="Calibri" w:cs="Calibri" w:eastAsia="Calibri" w:hAnsi="Calibri"/>
          <w:b w:val="false"/>
          <w:bCs w:val="false"/>
          <w:i w:val="false"/>
          <w:iCs w:val="false"/>
          <w:caps w:val="false"/>
          <w:color w:val="444444"/>
          <w:sz w:val="2"/>
          <w:szCs w:val="2"/>
        </w:rPr>
        <w:t xml:space="preserve"/>
      </w:r>
    </w:p>
    <w:p>
      <w:pPr>
        <w:spacing w:after="40" w:before="140"/>
      </w:pPr>
      <w:r>
        <w:rPr>
          <w:rFonts w:ascii="Consolas" w:cs="Consolas" w:eastAsia="Consolas" w:hAnsi="Consolas"/>
          <w:b/>
          <w:bCs/>
          <w:i w:val="false"/>
          <w:iCs w:val="false"/>
          <w:caps/>
          <w:color w:val="1F4E63"/>
          <w:spacing w:val="30"/>
          <w:sz w:val="15"/>
          <w:szCs w:val="15"/>
        </w:rPr>
        <w:t xml:space="preserve">READ AND CONFIRMED, BOTH SAY TEN YEARS</w:t>
      </w:r>
    </w:p>
    <w:p>
      <w:pPr>
        <w:pStyle w:val="Heading1"/>
        <w:spacing w:after="160" w:before="0"/>
      </w:pPr>
      <w:r>
        <w:rPr>
          <w:rFonts w:ascii="Georgia" w:cs="Georgia" w:eastAsia="Georgia" w:hAnsi="Georgia"/>
          <w:b w:val="false"/>
          <w:bCs w:val="false"/>
          <w:i w:val="false"/>
          <w:iCs w:val="false"/>
          <w:caps w:val="false"/>
          <w:color w:val="15171C"/>
          <w:sz w:val="34"/>
          <w:szCs w:val="34"/>
        </w:rPr>
        <w:t xml:space="preserve">Tier one</w:t>
      </w:r>
    </w:p>
    <w:p>
      <w:pPr>
        <w:pStyle w:val="Heading2"/>
        <w:pBdr>
          <w:left w:val="single" w:color="1F4E63" w:sz="18" w:space="10"/>
        </w:pBdr>
        <w:spacing w:after="0" w:before="300"/>
        <w:ind w:left="120"/>
      </w:pPr>
      <w:r>
        <w:rPr>
          <w:rFonts w:ascii="Consolas" w:cs="Consolas" w:eastAsia="Consolas" w:hAnsi="Consolas"/>
          <w:b/>
          <w:bCs/>
          <w:i w:val="false"/>
          <w:iCs w:val="false"/>
          <w:caps w:val="false"/>
          <w:color w:val="1F4E63"/>
          <w:sz w:val="26"/>
          <w:szCs w:val="26"/>
        </w:rPr>
        <w:t xml:space="preserve">1.  </w:t>
      </w:r>
      <w:r>
        <w:rPr>
          <w:rFonts w:ascii="Georgia" w:cs="Georgia" w:eastAsia="Georgia" w:hAnsi="Georgia"/>
          <w:b w:val="false"/>
          <w:bCs w:val="false"/>
          <w:i w:val="false"/>
          <w:iCs w:val="false"/>
          <w:caps w:val="false"/>
          <w:color w:val="15171C"/>
          <w:sz w:val="26"/>
          <w:szCs w:val="26"/>
        </w:rPr>
        <w:t xml:space="preserve">VP, Product</w:t>
      </w:r>
    </w:p>
    <w:p>
      <w:pPr>
        <w:pBdr>
          <w:left w:val="single" w:color="1F4E63" w:sz="18" w:space="10"/>
        </w:pBdr>
        <w:spacing w:after="40" w:before="40"/>
        <w:ind w:left="120"/>
      </w:pPr>
      <w:r>
        <w:rPr>
          <w:rFonts w:ascii="Consolas" w:cs="Consolas" w:eastAsia="Consolas" w:hAnsi="Consolas"/>
          <w:b w:val="false"/>
          <w:bCs w:val="false"/>
          <w:i w:val="false"/>
          <w:iCs w:val="false"/>
          <w:caps/>
          <w:color w:val="7F838D"/>
          <w:spacing w:val="18"/>
          <w:sz w:val="16"/>
          <w:szCs w:val="16"/>
        </w:rPr>
        <w:t xml:space="preserve">Later</w:t>
      </w:r>
      <w:r>
        <w:rPr>
          <w:rFonts w:ascii="Consolas" w:cs="Consolas" w:eastAsia="Consolas" w:hAnsi="Consolas"/>
          <w:b w:val="false"/>
          <w:bCs w:val="false"/>
          <w:i w:val="false"/>
          <w:iCs w:val="false"/>
          <w:caps w:val="false"/>
          <w:color w:val="444444"/>
          <w:sz w:val="16"/>
          <w:szCs w:val="16"/>
        </w:rPr>
        <w:t xml:space="preserve">     </w:t>
      </w:r>
      <w:r>
        <w:rPr>
          <w:rFonts w:ascii="Consolas" w:cs="Consolas" w:eastAsia="Consolas" w:hAnsi="Consolas"/>
          <w:b/>
          <w:bCs/>
          <w:i w:val="false"/>
          <w:iCs w:val="false"/>
          <w:caps w:val="false"/>
          <w:color w:val="15171C"/>
          <w:sz w:val="17"/>
          <w:szCs w:val="17"/>
        </w:rPr>
        <w:t xml:space="preserve">$320,000 flat</w:t>
      </w:r>
      <w:r>
        <w:rPr>
          <w:rFonts w:ascii="Consolas" w:cs="Consolas" w:eastAsia="Consolas" w:hAnsi="Consolas"/>
          <w:b w:val="false"/>
          <w:bCs w:val="false"/>
          <w:i w:val="false"/>
          <w:iCs w:val="false"/>
          <w:caps w:val="false"/>
          <w:color w:val="444444"/>
          <w:sz w:val="16"/>
          <w:szCs w:val="16"/>
        </w:rPr>
        <w:t xml:space="preserve">     </w:t>
      </w:r>
      <w:r>
        <w:rPr>
          <w:rFonts w:ascii="Consolas" w:cs="Consolas" w:eastAsia="Consolas" w:hAnsi="Consolas"/>
          <w:b/>
          <w:bCs/>
          <w:i w:val="false"/>
          <w:iCs w:val="false"/>
          <w:caps w:val="false"/>
          <w:color w:val="1F4E63"/>
          <w:spacing w:val="24"/>
          <w:sz w:val="14"/>
          <w:szCs w:val="14"/>
        </w:rPr>
        <w:t xml:space="preserve">THE ONLY VP POSTING IN 148 THAT DESCRIBES A SMALL DIRECT TEAM ON PURPOSE</w:t>
      </w:r>
    </w:p>
    <w:p>
      <w:pPr>
        <w:pBdr>
          <w:left w:val="single" w:color="1F4E63" w:sz="18" w:space="10"/>
        </w:pBdr>
        <w:spacing w:after="100" w:before="0"/>
        <w:ind w:left="120"/>
      </w:pPr>
      <w:r>
        <w:rPr>
          <w:rFonts w:ascii="Consolas" w:cs="Consolas" w:eastAsia="Consolas" w:hAnsi="Consolas"/>
          <w:b w:val="false"/>
          <w:bCs w:val="false"/>
          <w:i w:val="false"/>
          <w:iCs w:val="false"/>
          <w:caps w:val="false"/>
          <w:color w:val="7F838D"/>
          <w:sz w:val="14"/>
          <w:szCs w:val="14"/>
        </w:rPr>
        <w:t xml:space="preserve">San Francisco, CA, flagged remote   ·   posted this run</w:t>
      </w:r>
    </w:p>
    <w:p>
      <w:pPr>
        <w:pBdr>
          <w:left w:val="single" w:color="1F4E63" w:sz="18" w:space="10"/>
        </w:pBdr>
        <w:spacing w:after="100" w:before="60"/>
        <w:ind w:left="120"/>
      </w:pPr>
      <w:r>
        <w:rPr>
          <w:rFonts w:ascii="Consolas" w:cs="Consolas" w:eastAsia="Consolas" w:hAnsi="Consolas"/>
          <w:b w:val="false"/>
          <w:bCs w:val="false"/>
          <w:i w:val="false"/>
          <w:iCs w:val="false"/>
          <w:caps/>
          <w:color w:val="1D6144"/>
          <w:spacing w:val="24"/>
          <w:sz w:val="13"/>
          <w:szCs w:val="13"/>
        </w:rPr>
        <w:t xml:space="preserve">WHY  </w:t>
      </w:r>
      <w:r>
        <w:rPr>
          <w:rFonts w:ascii="Calibri" w:cs="Calibri" w:eastAsia="Calibri" w:hAnsi="Calibri"/>
          <w:b w:val="false"/>
          <w:bCs w:val="false"/>
          <w:i w:val="false"/>
          <w:iCs w:val="false"/>
          <w:caps w:val="false"/>
          <w:color w:val="4B4F59"/>
          <w:sz w:val="19"/>
          <w:szCs w:val="19"/>
        </w:rPr>
        <w:t xml:space="preserve">Ten years with five in senior leadership owning full product lines, which you clear. The line that matters is how they describe the team: "leading Product Manager(s) directly". The bracketed s is not sloppiness, it is a company telling you the reporting line is small and the scope is the product, not the org chart. That is the shape of job your three reports and fifteen-person cross-functional team actually fit. The posting also opens by inviting people who match only some of it to apply, which is worth taking at face value.</w:t>
      </w:r>
    </w:p>
    <w:p>
      <w:pPr>
        <w:pBdr>
          <w:left w:val="single" w:color="1F4E63" w:sz="18" w:space="10"/>
        </w:pBdr>
        <w:spacing w:after="100" w:before="0"/>
        <w:ind w:left="120"/>
      </w:pPr>
      <w:r>
        <w:rPr>
          <w:rFonts w:ascii="Consolas" w:cs="Consolas" w:eastAsia="Consolas" w:hAnsi="Consolas"/>
          <w:b w:val="false"/>
          <w:bCs w:val="false"/>
          <w:i w:val="false"/>
          <w:iCs w:val="false"/>
          <w:caps/>
          <w:color w:val="8C2F2F"/>
          <w:spacing w:val="24"/>
          <w:sz w:val="13"/>
          <w:szCs w:val="13"/>
        </w:rPr>
        <w:t xml:space="preserve">AGAINST  </w:t>
      </w:r>
      <w:r>
        <w:rPr>
          <w:rFonts w:ascii="Calibri" w:cs="Calibri" w:eastAsia="Calibri" w:hAnsi="Calibri"/>
          <w:b w:val="false"/>
          <w:bCs w:val="false"/>
          <w:i w:val="false"/>
          <w:iCs w:val="false"/>
          <w:caps w:val="false"/>
          <w:color w:val="4B4F59"/>
          <w:sz w:val="19"/>
          <w:szCs w:val="19"/>
        </w:rPr>
        <w:t xml:space="preserve">A flat $320,000 with no range means no negotiating room at offer. The domain preference is influencer marketing, creator economy or commerce-adjacent adtech, none of which is yours, and it is written as ideally rather than required. Listed San Francisco and flagged remote, which are two different claims: confirm which before anything else.</w:t>
      </w:r>
    </w:p>
    <w:p>
      <w:pPr>
        <w:spacing w:after="60" w:before="0"/>
        <w:ind w:left="320"/>
      </w:pPr>
      <w:r>
        <w:rPr>
          <w:rFonts w:ascii="Calibri" w:cs="Calibri" w:eastAsia="Calibri" w:hAnsi="Calibri"/>
          <w:b w:val="false"/>
          <w:bCs w:val="false"/>
          <w:i/>
          <w:iCs/>
          <w:caps w:val="false"/>
          <w:color w:val="7F838D"/>
          <w:sz w:val="18"/>
          <w:szCs w:val="18"/>
        </w:rPr>
        <w:t xml:space="preserve">“10+ years of product management experience in B2B SaaS or platform-led businesses, including 5+ years in senior leadership owning full product lines.”</w:t>
      </w:r>
    </w:p>
    <w:p>
      <w:pPr>
        <w:spacing w:after="60" w:before="0"/>
        <w:ind w:left="320"/>
      </w:pPr>
      <w:r>
        <w:rPr>
          <w:rFonts w:ascii="Calibri" w:cs="Calibri" w:eastAsia="Calibri" w:hAnsi="Calibri"/>
          <w:b w:val="false"/>
          <w:bCs w:val="false"/>
          <w:i/>
          <w:iCs/>
          <w:caps w:val="false"/>
          <w:color w:val="7F838D"/>
          <w:sz w:val="18"/>
          <w:szCs w:val="18"/>
        </w:rPr>
        <w:t xml:space="preserve">“Reporting to the Chief Product Officer and leading Product Manager(s) directly, you'll build a high-impact product organization.”</w:t>
      </w:r>
    </w:p>
    <w:p>
      <w:pPr>
        <w:pStyle w:val="Heading2"/>
        <w:pBdr>
          <w:left w:val="single" w:color="1F4E63" w:sz="18" w:space="10"/>
        </w:pBdr>
        <w:spacing w:after="0" w:before="300"/>
        <w:ind w:left="120"/>
      </w:pPr>
      <w:r>
        <w:rPr>
          <w:rFonts w:ascii="Consolas" w:cs="Consolas" w:eastAsia="Consolas" w:hAnsi="Consolas"/>
          <w:b/>
          <w:bCs/>
          <w:i w:val="false"/>
          <w:iCs w:val="false"/>
          <w:caps w:val="false"/>
          <w:color w:val="1F4E63"/>
          <w:sz w:val="26"/>
          <w:szCs w:val="26"/>
        </w:rPr>
        <w:t xml:space="preserve">2.  </w:t>
      </w:r>
      <w:r>
        <w:rPr>
          <w:rFonts w:ascii="Georgia" w:cs="Georgia" w:eastAsia="Georgia" w:hAnsi="Georgia"/>
          <w:b w:val="false"/>
          <w:bCs w:val="false"/>
          <w:i w:val="false"/>
          <w:iCs w:val="false"/>
          <w:caps w:val="false"/>
          <w:color w:val="15171C"/>
          <w:sz w:val="26"/>
          <w:szCs w:val="26"/>
        </w:rPr>
        <w:t xml:space="preserve">VP of Product</w:t>
      </w:r>
    </w:p>
    <w:p>
      <w:pPr>
        <w:pBdr>
          <w:left w:val="single" w:color="1F4E63" w:sz="18" w:space="10"/>
        </w:pBdr>
        <w:spacing w:after="40" w:before="40"/>
        <w:ind w:left="120"/>
      </w:pPr>
      <w:r>
        <w:rPr>
          <w:rFonts w:ascii="Consolas" w:cs="Consolas" w:eastAsia="Consolas" w:hAnsi="Consolas"/>
          <w:b w:val="false"/>
          <w:bCs w:val="false"/>
          <w:i w:val="false"/>
          <w:iCs w:val="false"/>
          <w:caps/>
          <w:color w:val="7F838D"/>
          <w:spacing w:val="18"/>
          <w:sz w:val="16"/>
          <w:szCs w:val="16"/>
        </w:rPr>
        <w:t xml:space="preserve">SewerAI</w:t>
      </w:r>
      <w:r>
        <w:rPr>
          <w:rFonts w:ascii="Consolas" w:cs="Consolas" w:eastAsia="Consolas" w:hAnsi="Consolas"/>
          <w:b w:val="false"/>
          <w:bCs w:val="false"/>
          <w:i w:val="false"/>
          <w:iCs w:val="false"/>
          <w:caps w:val="false"/>
          <w:color w:val="444444"/>
          <w:sz w:val="16"/>
          <w:szCs w:val="16"/>
        </w:rPr>
        <w:t xml:space="preserve">     </w:t>
      </w:r>
      <w:r>
        <w:rPr>
          <w:rFonts w:ascii="Consolas" w:cs="Consolas" w:eastAsia="Consolas" w:hAnsi="Consolas"/>
          <w:b/>
          <w:bCs/>
          <w:i w:val="false"/>
          <w:iCs w:val="false"/>
          <w:caps w:val="false"/>
          <w:color w:val="15171C"/>
          <w:sz w:val="17"/>
          <w:szCs w:val="17"/>
        </w:rPr>
        <w:t xml:space="preserve">$325,000 to $375,000</w:t>
      </w:r>
      <w:r>
        <w:rPr>
          <w:rFonts w:ascii="Consolas" w:cs="Consolas" w:eastAsia="Consolas" w:hAnsi="Consolas"/>
          <w:b w:val="false"/>
          <w:bCs w:val="false"/>
          <w:i w:val="false"/>
          <w:iCs w:val="false"/>
          <w:caps w:val="false"/>
          <w:color w:val="444444"/>
          <w:sz w:val="16"/>
          <w:szCs w:val="16"/>
        </w:rPr>
        <w:t xml:space="preserve">     </w:t>
      </w:r>
      <w:r>
        <w:rPr>
          <w:rFonts w:ascii="Consolas" w:cs="Consolas" w:eastAsia="Consolas" w:hAnsi="Consolas"/>
          <w:b/>
          <w:bCs/>
          <w:i w:val="false"/>
          <w:iCs w:val="false"/>
          <w:caps w:val="false"/>
          <w:color w:val="1F4E63"/>
          <w:spacing w:val="24"/>
          <w:sz w:val="14"/>
          <w:szCs w:val="14"/>
        </w:rPr>
        <w:t xml:space="preserve">TEN-YEAR BAR, REAL RANGE, AND A MARKET SHAPED LIKE ONE YOU HAVE WORKED IN</w:t>
      </w:r>
    </w:p>
    <w:p>
      <w:pPr>
        <w:pBdr>
          <w:left w:val="single" w:color="1F4E63" w:sz="18" w:space="10"/>
        </w:pBdr>
        <w:spacing w:after="100" w:before="0"/>
        <w:ind w:left="120"/>
      </w:pPr>
      <w:r>
        <w:rPr>
          <w:rFonts w:ascii="Consolas" w:cs="Consolas" w:eastAsia="Consolas" w:hAnsi="Consolas"/>
          <w:b w:val="false"/>
          <w:bCs w:val="false"/>
          <w:i w:val="false"/>
          <w:iCs w:val="false"/>
          <w:caps w:val="false"/>
          <w:color w:val="7F838D"/>
          <w:sz w:val="14"/>
          <w:szCs w:val="14"/>
        </w:rPr>
        <w:t xml:space="preserve">Walnut Creek, CA, flagged remote   ·   posted this run</w:t>
      </w:r>
    </w:p>
    <w:p>
      <w:pPr>
        <w:pBdr>
          <w:left w:val="single" w:color="1F4E63" w:sz="18" w:space="10"/>
        </w:pBdr>
        <w:spacing w:after="100" w:before="60"/>
        <w:ind w:left="120"/>
      </w:pPr>
      <w:r>
        <w:rPr>
          <w:rFonts w:ascii="Consolas" w:cs="Consolas" w:eastAsia="Consolas" w:hAnsi="Consolas"/>
          <w:b w:val="false"/>
          <w:bCs w:val="false"/>
          <w:i w:val="false"/>
          <w:iCs w:val="false"/>
          <w:caps/>
          <w:color w:val="1D6144"/>
          <w:spacing w:val="24"/>
          <w:sz w:val="13"/>
          <w:szCs w:val="13"/>
        </w:rPr>
        <w:t xml:space="preserve">WHY  </w:t>
      </w:r>
      <w:r>
        <w:rPr>
          <w:rFonts w:ascii="Calibri" w:cs="Calibri" w:eastAsia="Calibri" w:hAnsi="Calibri"/>
          <w:b w:val="false"/>
          <w:bCs w:val="false"/>
          <w:i w:val="false"/>
          <w:iCs w:val="false"/>
          <w:caps w:val="false"/>
          <w:color w:val="4B4F59"/>
          <w:sz w:val="19"/>
          <w:szCs w:val="19"/>
        </w:rPr>
        <w:t xml:space="preserve">Ten or more years including meaningful B2B SaaS leadership, which you clear with a year to spare. They want someone to build a PM and design organisation in a workflow-heavy vertical: wastewater infrastructure. They name vertical SaaS, infrastructure tech, govtech and construction as a plus, and your six years at MediaLab selling 3D visualisation to Lennar and Toll Brothers is construction-adjacent in exactly the way they mean. A real range rather than a flat number, topping fifty-five thousand above the Later role.</w:t>
      </w:r>
    </w:p>
    <w:p>
      <w:pPr>
        <w:pBdr>
          <w:left w:val="single" w:color="1F4E63" w:sz="18" w:space="10"/>
        </w:pBdr>
        <w:spacing w:after="100" w:before="0"/>
        <w:ind w:left="120"/>
      </w:pPr>
      <w:r>
        <w:rPr>
          <w:rFonts w:ascii="Consolas" w:cs="Consolas" w:eastAsia="Consolas" w:hAnsi="Consolas"/>
          <w:b w:val="false"/>
          <w:bCs w:val="false"/>
          <w:i w:val="false"/>
          <w:iCs w:val="false"/>
          <w:caps/>
          <w:color w:val="8C2F2F"/>
          <w:spacing w:val="24"/>
          <w:sz w:val="13"/>
          <w:szCs w:val="13"/>
        </w:rPr>
        <w:t xml:space="preserve">AGAINST  </w:t>
      </w:r>
      <w:r>
        <w:rPr>
          <w:rFonts w:ascii="Calibri" w:cs="Calibri" w:eastAsia="Calibri" w:hAnsi="Calibri"/>
          <w:b w:val="false"/>
          <w:bCs w:val="false"/>
          <w:i w:val="false"/>
          <w:iCs w:val="false"/>
          <w:caps w:val="false"/>
          <w:color w:val="4B4F59"/>
          <w:sz w:val="19"/>
          <w:szCs w:val="19"/>
        </w:rPr>
        <w:t xml:space="preserve">"Build a high-performing PM and Design org" is scale language, and three direct reports is the small end of what a company writing that sentence pictures. Lead with the fifteen-person cross-functional team and the retention turnaround, because those are the evidence that you have run something, and let the reporting line come up on its own terms.</w:t>
      </w:r>
    </w:p>
    <w:p>
      <w:pPr>
        <w:spacing w:after="60" w:before="0"/>
        <w:ind w:left="320"/>
      </w:pPr>
      <w:r>
        <w:rPr>
          <w:rFonts w:ascii="Calibri" w:cs="Calibri" w:eastAsia="Calibri" w:hAnsi="Calibri"/>
          <w:b w:val="false"/>
          <w:bCs w:val="false"/>
          <w:i/>
          <w:iCs/>
          <w:caps w:val="false"/>
          <w:color w:val="7F838D"/>
          <w:sz w:val="18"/>
          <w:szCs w:val="18"/>
        </w:rPr>
        <w:t xml:space="preserve">“10+ years in product management, including meaningful B2B SaaS leadership.”</w:t>
      </w:r>
    </w:p>
    <w:p>
      <w:pPr>
        <w:spacing w:after="60" w:before="0"/>
        <w:ind w:left="320"/>
      </w:pPr>
      <w:r>
        <w:rPr>
          <w:rFonts w:ascii="Calibri" w:cs="Calibri" w:eastAsia="Calibri" w:hAnsi="Calibri"/>
          <w:b w:val="false"/>
          <w:bCs w:val="false"/>
          <w:i/>
          <w:iCs/>
          <w:caps w:val="false"/>
          <w:color w:val="7F838D"/>
          <w:sz w:val="18"/>
          <w:szCs w:val="18"/>
        </w:rPr>
        <w:t xml:space="preserve">“Experience scaling a product org through high growth: vertical SaaS, infrastructure tech, govtech, construction, or similar workflow-heavy markets a plus.”</w:t>
      </w:r>
    </w:p>
    <w:p>
      <w:r>
        <w:br w:type="page"/>
      </w:r>
    </w:p>
    <w:p>
      <w:pPr>
        <w:pBdr>
          <w:bottom w:val="single" w:color="15171C" w:sz="12"/>
        </w:pBdr>
        <w:spacing w:after="0" w:before="360"/>
      </w:pPr>
      <w:r>
        <w:rPr>
          <w:rFonts w:ascii="Calibri" w:cs="Calibri" w:eastAsia="Calibri" w:hAnsi="Calibri"/>
          <w:b w:val="false"/>
          <w:bCs w:val="false"/>
          <w:i w:val="false"/>
          <w:iCs w:val="false"/>
          <w:caps w:val="false"/>
          <w:color w:val="444444"/>
          <w:sz w:val="2"/>
          <w:szCs w:val="2"/>
        </w:rPr>
        <w:t xml:space="preserve"/>
      </w:r>
    </w:p>
    <w:p>
      <w:pPr>
        <w:spacing w:after="40" w:before="140"/>
      </w:pPr>
      <w:r>
        <w:rPr>
          <w:rFonts w:ascii="Consolas" w:cs="Consolas" w:eastAsia="Consolas" w:hAnsi="Consolas"/>
          <w:b/>
          <w:bCs/>
          <w:i w:val="false"/>
          <w:iCs w:val="false"/>
          <w:caps/>
          <w:color w:val="1F4E63"/>
          <w:spacing w:val="30"/>
          <w:sz w:val="15"/>
          <w:szCs w:val="15"/>
        </w:rPr>
        <w:t xml:space="preserve">THE FIVE BEST-PAID ROLES YOU CANNOT HAVE THIS YEAR</w:t>
      </w:r>
    </w:p>
    <w:p>
      <w:pPr>
        <w:pStyle w:val="Heading1"/>
        <w:spacing w:after="160" w:before="0"/>
      </w:pPr>
      <w:r>
        <w:rPr>
          <w:rFonts w:ascii="Georgia" w:cs="Georgia" w:eastAsia="Georgia" w:hAnsi="Georgia"/>
          <w:b w:val="false"/>
          <w:bCs w:val="false"/>
          <w:i w:val="false"/>
          <w:iCs w:val="false"/>
          <w:caps w:val="false"/>
          <w:color w:val="15171C"/>
          <w:sz w:val="34"/>
          <w:szCs w:val="34"/>
        </w:rPr>
        <w:t xml:space="preserve">Ruled out, with the line that does it</w:t>
      </w:r>
    </w:p>
    <w:p>
      <w:pPr>
        <w:spacing w:after="120" w:before="0" w:line="300"/>
      </w:pPr>
      <w:r>
        <w:rPr>
          <w:rFonts w:ascii="Calibri" w:cs="Calibri" w:eastAsia="Calibri" w:hAnsi="Calibri"/>
          <w:b w:val="false"/>
          <w:bCs w:val="false"/>
          <w:i w:val="false"/>
          <w:iCs w:val="false"/>
          <w:caps w:val="false"/>
          <w:color w:val="4B4F59"/>
          <w:sz w:val="20"/>
          <w:szCs w:val="20"/>
        </w:rPr>
        <w:t xml:space="preserve">Every one of these clears your floor by a wide margin. None of them fails on money. Four fail on the twelve-year line, and three of those also want a domain you have never worked in. Seeing the lines quoted is more useful than seeing the roles quietly filtered away, because it tells you what changes and when.</w:t>
      </w:r>
    </w:p>
    <w:p>
      <w:pPr>
        <w:pBdr>
          <w:left w:val="single" w:color="8C2F2F" w:sz="18" w:space="10"/>
        </w:pBdr>
        <w:spacing w:after="0" w:before="240"/>
        <w:ind w:left="120"/>
      </w:pPr>
      <w:r>
        <w:rPr>
          <w:rFonts w:ascii="Calibri" w:cs="Calibri" w:eastAsia="Calibri" w:hAnsi="Calibri"/>
          <w:b/>
          <w:bCs/>
          <w:i w:val="false"/>
          <w:iCs w:val="false"/>
          <w:caps w:val="false"/>
          <w:color w:val="15171C"/>
          <w:sz w:val="21"/>
          <w:szCs w:val="21"/>
        </w:rPr>
        <w:t xml:space="preserve">Vice President, Product [Remote-US]</w:t>
      </w:r>
      <w:r>
        <w:rPr>
          <w:rFonts w:ascii="Consolas" w:cs="Consolas" w:eastAsia="Consolas" w:hAnsi="Consolas"/>
          <w:b w:val="false"/>
          <w:bCs w:val="false"/>
          <w:i w:val="false"/>
          <w:iCs w:val="false"/>
          <w:caps/>
          <w:color w:val="7F838D"/>
          <w:spacing w:val="18"/>
          <w:sz w:val="15"/>
          <w:szCs w:val="15"/>
        </w:rPr>
        <w:t xml:space="preserve">     Quanata</w:t>
      </w:r>
      <w:r>
        <w:rPr>
          <w:rFonts w:ascii="Consolas" w:cs="Consolas" w:eastAsia="Consolas" w:hAnsi="Consolas"/>
          <w:b w:val="false"/>
          <w:bCs w:val="false"/>
          <w:i w:val="false"/>
          <w:iCs w:val="false"/>
          <w:caps w:val="false"/>
          <w:color w:val="7F838D"/>
          <w:sz w:val="15"/>
          <w:szCs w:val="15"/>
        </w:rPr>
        <w:t xml:space="preserve">     $550,000 to $650,000</w:t>
      </w:r>
    </w:p>
    <w:p>
      <w:pPr>
        <w:pBdr>
          <w:left w:val="single" w:color="8C2F2F" w:sz="18" w:space="10"/>
        </w:pBdr>
        <w:spacing w:after="80" w:before="60"/>
        <w:ind w:left="120"/>
      </w:pPr>
      <w:r>
        <w:rPr>
          <w:rFonts w:ascii="Consolas" w:cs="Consolas" w:eastAsia="Consolas" w:hAnsi="Consolas"/>
          <w:b w:val="false"/>
          <w:bCs w:val="false"/>
          <w:i w:val="false"/>
          <w:iCs w:val="false"/>
          <w:caps/>
          <w:color w:val="8C2F2F"/>
          <w:spacing w:val="24"/>
          <w:sz w:val="13"/>
          <w:szCs w:val="13"/>
        </w:rPr>
        <w:t xml:space="preserve">RULED OUT  </w:t>
      </w:r>
      <w:r>
        <w:rPr>
          <w:rFonts w:ascii="Calibri" w:cs="Calibri" w:eastAsia="Calibri" w:hAnsi="Calibri"/>
          <w:b w:val="false"/>
          <w:bCs w:val="false"/>
          <w:i w:val="false"/>
          <w:iCs w:val="false"/>
          <w:caps w:val="false"/>
          <w:color w:val="4B4F59"/>
          <w:sz w:val="19"/>
          <w:szCs w:val="19"/>
        </w:rPr>
        <w:t xml:space="preserve">The largest band in your entire sweep and genuinely remote, which makes it worth naming rather than hiding. Two gates, either one sufficient. The bonus points describe you exactly, and bonus points are not what a screen reads.</w:t>
      </w:r>
    </w:p>
    <w:p>
      <w:pPr>
        <w:spacing w:after="60" w:before="0"/>
        <w:ind w:left="320"/>
      </w:pPr>
      <w:r>
        <w:rPr>
          <w:rFonts w:ascii="Calibri" w:cs="Calibri" w:eastAsia="Calibri" w:hAnsi="Calibri"/>
          <w:b w:val="false"/>
          <w:bCs w:val="false"/>
          <w:i/>
          <w:iCs/>
          <w:caps w:val="false"/>
          <w:color w:val="7F838D"/>
          <w:sz w:val="18"/>
          <w:szCs w:val="18"/>
        </w:rPr>
        <w:t xml:space="preserve">“12-15 years of progressive experience in product management, product strategy, insurance products, or related leadership roles.”</w:t>
      </w:r>
    </w:p>
    <w:p>
      <w:pPr>
        <w:spacing w:after="60" w:before="0"/>
        <w:ind w:left="320"/>
      </w:pPr>
      <w:r>
        <w:rPr>
          <w:rFonts w:ascii="Calibri" w:cs="Calibri" w:eastAsia="Calibri" w:hAnsi="Calibri"/>
          <w:b w:val="false"/>
          <w:bCs w:val="false"/>
          <w:i/>
          <w:iCs/>
          <w:caps w:val="false"/>
          <w:color w:val="7F838D"/>
          <w:sz w:val="18"/>
          <w:szCs w:val="18"/>
        </w:rPr>
        <w:t xml:space="preserve">“Deep insurance industry expertise, ideally within P&amp;C, insurtech, or data-enabled insurance products.”</w:t>
      </w:r>
    </w:p>
    <w:p>
      <w:pPr>
        <w:pBdr>
          <w:left w:val="single" w:color="8C2F2F" w:sz="18" w:space="10"/>
        </w:pBdr>
        <w:spacing w:after="0" w:before="240"/>
        <w:ind w:left="120"/>
      </w:pPr>
      <w:r>
        <w:rPr>
          <w:rFonts w:ascii="Calibri" w:cs="Calibri" w:eastAsia="Calibri" w:hAnsi="Calibri"/>
          <w:b/>
          <w:bCs/>
          <w:i w:val="false"/>
          <w:iCs w:val="false"/>
          <w:caps w:val="false"/>
          <w:color w:val="15171C"/>
          <w:sz w:val="21"/>
          <w:szCs w:val="21"/>
        </w:rPr>
        <w:t xml:space="preserve">Director, Product Management, Snowflake Transactions</w:t>
      </w:r>
      <w:r>
        <w:rPr>
          <w:rFonts w:ascii="Consolas" w:cs="Consolas" w:eastAsia="Consolas" w:hAnsi="Consolas"/>
          <w:b w:val="false"/>
          <w:bCs w:val="false"/>
          <w:i w:val="false"/>
          <w:iCs w:val="false"/>
          <w:caps/>
          <w:color w:val="7F838D"/>
          <w:spacing w:val="18"/>
          <w:sz w:val="15"/>
          <w:szCs w:val="15"/>
        </w:rPr>
        <w:t xml:space="preserve">     Snowflake</w:t>
      </w:r>
      <w:r>
        <w:rPr>
          <w:rFonts w:ascii="Consolas" w:cs="Consolas" w:eastAsia="Consolas" w:hAnsi="Consolas"/>
          <w:b w:val="false"/>
          <w:bCs w:val="false"/>
          <w:i w:val="false"/>
          <w:iCs w:val="false"/>
          <w:caps w:val="false"/>
          <w:color w:val="7F838D"/>
          <w:sz w:val="15"/>
          <w:szCs w:val="15"/>
        </w:rPr>
        <w:t xml:space="preserve">     $304,000 to $437,000</w:t>
      </w:r>
    </w:p>
    <w:p>
      <w:pPr>
        <w:pBdr>
          <w:left w:val="single" w:color="8C2F2F" w:sz="18" w:space="10"/>
        </w:pBdr>
        <w:spacing w:after="80" w:before="60"/>
        <w:ind w:left="120"/>
      </w:pPr>
      <w:r>
        <w:rPr>
          <w:rFonts w:ascii="Consolas" w:cs="Consolas" w:eastAsia="Consolas" w:hAnsi="Consolas"/>
          <w:b w:val="false"/>
          <w:bCs w:val="false"/>
          <w:i w:val="false"/>
          <w:iCs w:val="false"/>
          <w:caps/>
          <w:color w:val="8C2F2F"/>
          <w:spacing w:val="24"/>
          <w:sz w:val="13"/>
          <w:szCs w:val="13"/>
        </w:rPr>
        <w:t xml:space="preserve">RULED OUT  </w:t>
      </w:r>
      <w:r>
        <w:rPr>
          <w:rFonts w:ascii="Calibri" w:cs="Calibri" w:eastAsia="Calibri" w:hAnsi="Calibri"/>
          <w:b w:val="false"/>
          <w:bCs w:val="false"/>
          <w:i w:val="false"/>
          <w:iCs w:val="false"/>
          <w:caps w:val="false"/>
          <w:color w:val="4B4F59"/>
          <w:sz w:val="19"/>
          <w:szCs w:val="19"/>
        </w:rPr>
        <w:t xml:space="preserve">The title reads like transformation and it is not: Transactions means transactional database systems. Twelve years, plus database internals as a named requirement, plus outcomes measured at a revenue scale above anything on your resume.</w:t>
      </w:r>
    </w:p>
    <w:p>
      <w:pPr>
        <w:spacing w:after="60" w:before="0"/>
        <w:ind w:left="320"/>
      </w:pPr>
      <w:r>
        <w:rPr>
          <w:rFonts w:ascii="Calibri" w:cs="Calibri" w:eastAsia="Calibri" w:hAnsi="Calibri"/>
          <w:b w:val="false"/>
          <w:bCs w:val="false"/>
          <w:i/>
          <w:iCs/>
          <w:caps w:val="false"/>
          <w:color w:val="7F838D"/>
          <w:sz w:val="18"/>
          <w:szCs w:val="18"/>
        </w:rPr>
        <w:t xml:space="preserve">“12+ years of Product Management experience, with a track record of driving significant business growth.”</w:t>
      </w:r>
    </w:p>
    <w:p>
      <w:pPr>
        <w:spacing w:after="60" w:before="0"/>
        <w:ind w:left="320"/>
      </w:pPr>
      <w:r>
        <w:rPr>
          <w:rFonts w:ascii="Calibri" w:cs="Calibri" w:eastAsia="Calibri" w:hAnsi="Calibri"/>
          <w:b w:val="false"/>
          <w:bCs w:val="false"/>
          <w:i/>
          <w:iCs/>
          <w:caps w:val="false"/>
          <w:color w:val="7F838D"/>
          <w:sz w:val="18"/>
          <w:szCs w:val="18"/>
        </w:rPr>
        <w:t xml:space="preserve">“Experience scaling complex data systems or OLTP platforms (e.g., Postgres, MySQL SQL Server, or Oracle).”</w:t>
      </w:r>
    </w:p>
    <w:p>
      <w:pPr>
        <w:pBdr>
          <w:left w:val="single" w:color="8C2F2F" w:sz="18" w:space="10"/>
        </w:pBdr>
        <w:spacing w:after="0" w:before="240"/>
        <w:ind w:left="120"/>
      </w:pPr>
      <w:r>
        <w:rPr>
          <w:rFonts w:ascii="Calibri" w:cs="Calibri" w:eastAsia="Calibri" w:hAnsi="Calibri"/>
          <w:b/>
          <w:bCs/>
          <w:i w:val="false"/>
          <w:iCs w:val="false"/>
          <w:caps w:val="false"/>
          <w:color w:val="15171C"/>
          <w:sz w:val="21"/>
          <w:szCs w:val="21"/>
        </w:rPr>
        <w:t xml:space="preserve">Vice President, Product Management, Exposure Command</w:t>
      </w:r>
      <w:r>
        <w:rPr>
          <w:rFonts w:ascii="Consolas" w:cs="Consolas" w:eastAsia="Consolas" w:hAnsi="Consolas"/>
          <w:b w:val="false"/>
          <w:bCs w:val="false"/>
          <w:i w:val="false"/>
          <w:iCs w:val="false"/>
          <w:caps/>
          <w:color w:val="7F838D"/>
          <w:spacing w:val="18"/>
          <w:sz w:val="15"/>
          <w:szCs w:val="15"/>
        </w:rPr>
        <w:t xml:space="preserve">     Rapid7</w:t>
      </w:r>
      <w:r>
        <w:rPr>
          <w:rFonts w:ascii="Consolas" w:cs="Consolas" w:eastAsia="Consolas" w:hAnsi="Consolas"/>
          <w:b w:val="false"/>
          <w:bCs w:val="false"/>
          <w:i w:val="false"/>
          <w:iCs w:val="false"/>
          <w:caps w:val="false"/>
          <w:color w:val="7F838D"/>
          <w:sz w:val="15"/>
          <w:szCs w:val="15"/>
        </w:rPr>
        <w:t xml:space="preserve">     $259,300 flat</w:t>
      </w:r>
    </w:p>
    <w:p>
      <w:pPr>
        <w:pBdr>
          <w:left w:val="single" w:color="8C2F2F" w:sz="18" w:space="10"/>
        </w:pBdr>
        <w:spacing w:after="80" w:before="60"/>
        <w:ind w:left="120"/>
      </w:pPr>
      <w:r>
        <w:rPr>
          <w:rFonts w:ascii="Consolas" w:cs="Consolas" w:eastAsia="Consolas" w:hAnsi="Consolas"/>
          <w:b w:val="false"/>
          <w:bCs w:val="false"/>
          <w:i w:val="false"/>
          <w:iCs w:val="false"/>
          <w:caps/>
          <w:color w:val="8C2F2F"/>
          <w:spacing w:val="24"/>
          <w:sz w:val="13"/>
          <w:szCs w:val="13"/>
        </w:rPr>
        <w:t xml:space="preserve">RULED OUT  </w:t>
      </w:r>
      <w:r>
        <w:rPr>
          <w:rFonts w:ascii="Calibri" w:cs="Calibri" w:eastAsia="Calibri" w:hAnsi="Calibri"/>
          <w:b w:val="false"/>
          <w:bCs w:val="false"/>
          <w:i w:val="false"/>
          <w:iCs w:val="false"/>
          <w:caps w:val="false"/>
          <w:color w:val="4B4F59"/>
          <w:sz w:val="19"/>
          <w:szCs w:val="19"/>
        </w:rPr>
        <w:t xml:space="preserve">The one that should sting, because it is a security VP role and security is where you spent three years. It is a different security discipline. Consumer and MSP endpoint protection is not vulnerability and exposure management, and the posting wants a point of view on where that specific market is heading. Fifteen years on top of it.</w:t>
      </w:r>
    </w:p>
    <w:p>
      <w:pPr>
        <w:spacing w:after="60" w:before="0"/>
        <w:ind w:left="320"/>
      </w:pPr>
      <w:r>
        <w:rPr>
          <w:rFonts w:ascii="Calibri" w:cs="Calibri" w:eastAsia="Calibri" w:hAnsi="Calibri"/>
          <w:b w:val="false"/>
          <w:bCs w:val="false"/>
          <w:i/>
          <w:iCs/>
          <w:caps w:val="false"/>
          <w:color w:val="7F838D"/>
          <w:sz w:val="18"/>
          <w:szCs w:val="18"/>
        </w:rPr>
        <w:t xml:space="preserve">“15+ years of progressive product management leadership experience, including direct ownership of complex cloud-native enterprise security or cybersecurity SaaS products at scale, with at least five years at the director or VP level.”</w:t>
      </w:r>
    </w:p>
    <w:p>
      <w:pPr>
        <w:spacing w:after="60" w:before="0"/>
        <w:ind w:left="320"/>
      </w:pPr>
      <w:r>
        <w:rPr>
          <w:rFonts w:ascii="Calibri" w:cs="Calibri" w:eastAsia="Calibri" w:hAnsi="Calibri"/>
          <w:b w:val="false"/>
          <w:bCs w:val="false"/>
          <w:i/>
          <w:iCs/>
          <w:caps w:val="false"/>
          <w:color w:val="7F838D"/>
          <w:sz w:val="18"/>
          <w:szCs w:val="18"/>
        </w:rPr>
        <w:t xml:space="preserve">“Deep domain expertise in vulnerability management, exposure management, attack surface management, or adjacent cybersecurity domains.”</w:t>
      </w:r>
    </w:p>
    <w:p>
      <w:pPr>
        <w:pBdr>
          <w:left w:val="single" w:color="8C2F2F" w:sz="18" w:space="10"/>
        </w:pBdr>
        <w:spacing w:after="0" w:before="240"/>
        <w:ind w:left="120"/>
      </w:pPr>
      <w:r>
        <w:rPr>
          <w:rFonts w:ascii="Calibri" w:cs="Calibri" w:eastAsia="Calibri" w:hAnsi="Calibri"/>
          <w:b/>
          <w:bCs/>
          <w:i w:val="false"/>
          <w:iCs w:val="false"/>
          <w:caps w:val="false"/>
          <w:color w:val="15171C"/>
          <w:sz w:val="21"/>
          <w:szCs w:val="21"/>
        </w:rPr>
        <w:t xml:space="preserve">Senior Director, Product Management</w:t>
      </w:r>
      <w:r>
        <w:rPr>
          <w:rFonts w:ascii="Consolas" w:cs="Consolas" w:eastAsia="Consolas" w:hAnsi="Consolas"/>
          <w:b w:val="false"/>
          <w:bCs w:val="false"/>
          <w:i w:val="false"/>
          <w:iCs w:val="false"/>
          <w:caps/>
          <w:color w:val="7F838D"/>
          <w:spacing w:val="18"/>
          <w:sz w:val="15"/>
          <w:szCs w:val="15"/>
        </w:rPr>
        <w:t xml:space="preserve">     DT</w:t>
      </w:r>
      <w:r>
        <w:rPr>
          <w:rFonts w:ascii="Consolas" w:cs="Consolas" w:eastAsia="Consolas" w:hAnsi="Consolas"/>
          <w:b w:val="false"/>
          <w:bCs w:val="false"/>
          <w:i w:val="false"/>
          <w:iCs w:val="false"/>
          <w:caps w:val="false"/>
          <w:color w:val="7F838D"/>
          <w:sz w:val="15"/>
          <w:szCs w:val="15"/>
        </w:rPr>
        <w:t xml:space="preserve">     $259,000 to $310,000</w:t>
      </w:r>
    </w:p>
    <w:p>
      <w:pPr>
        <w:pBdr>
          <w:left w:val="single" w:color="8C2F2F" w:sz="18" w:space="10"/>
        </w:pBdr>
        <w:spacing w:after="80" w:before="60"/>
        <w:ind w:left="120"/>
      </w:pPr>
      <w:r>
        <w:rPr>
          <w:rFonts w:ascii="Consolas" w:cs="Consolas" w:eastAsia="Consolas" w:hAnsi="Consolas"/>
          <w:b w:val="false"/>
          <w:bCs w:val="false"/>
          <w:i w:val="false"/>
          <w:iCs w:val="false"/>
          <w:caps/>
          <w:color w:val="8C2F2F"/>
          <w:spacing w:val="24"/>
          <w:sz w:val="13"/>
          <w:szCs w:val="13"/>
        </w:rPr>
        <w:t xml:space="preserve">RULED OUT  </w:t>
      </w:r>
      <w:r>
        <w:rPr>
          <w:rFonts w:ascii="Calibri" w:cs="Calibri" w:eastAsia="Calibri" w:hAnsi="Calibri"/>
          <w:b w:val="false"/>
          <w:bCs w:val="false"/>
          <w:i w:val="false"/>
          <w:iCs w:val="false"/>
          <w:caps w:val="false"/>
          <w:color w:val="4B4F59"/>
          <w:sz w:val="19"/>
          <w:szCs w:val="19"/>
        </w:rPr>
        <w:t xml:space="preserve">Twelve years again, and this time in a domain measured in OS-level specifics rather than general product skill.</w:t>
      </w:r>
    </w:p>
    <w:p>
      <w:pPr>
        <w:spacing w:after="60" w:before="0"/>
        <w:ind w:left="320"/>
      </w:pPr>
      <w:r>
        <w:rPr>
          <w:rFonts w:ascii="Calibri" w:cs="Calibri" w:eastAsia="Calibri" w:hAnsi="Calibri"/>
          <w:b w:val="false"/>
          <w:bCs w:val="false"/>
          <w:i/>
          <w:iCs/>
          <w:caps w:val="false"/>
          <w:color w:val="7F838D"/>
          <w:sz w:val="18"/>
          <w:szCs w:val="18"/>
        </w:rPr>
        <w:t xml:space="preserve">“12+ years in mobile ecosystems, platform distribution, or mobile ad tech, with 3+ years at Director level or above.”</w:t>
      </w:r>
    </w:p>
    <w:p>
      <w:pPr>
        <w:spacing w:after="60" w:before="0"/>
        <w:ind w:left="320"/>
      </w:pPr>
      <w:r>
        <w:rPr>
          <w:rFonts w:ascii="Calibri" w:cs="Calibri" w:eastAsia="Calibri" w:hAnsi="Calibri"/>
          <w:b w:val="false"/>
          <w:bCs w:val="false"/>
          <w:i/>
          <w:iCs/>
          <w:caps w:val="false"/>
          <w:color w:val="7F838D"/>
          <w:sz w:val="18"/>
          <w:szCs w:val="18"/>
        </w:rPr>
        <w:t xml:space="preserve">“SDK or device-layer product: you've shipped products close to the OS.”</w:t>
      </w:r>
    </w:p>
    <w:p>
      <w:pPr>
        <w:pBdr>
          <w:left w:val="single" w:color="8C2F2F" w:sz="18" w:space="10"/>
        </w:pBdr>
        <w:spacing w:after="0" w:before="240"/>
        <w:ind w:left="120"/>
      </w:pPr>
      <w:r>
        <w:rPr>
          <w:rFonts w:ascii="Calibri" w:cs="Calibri" w:eastAsia="Calibri" w:hAnsi="Calibri"/>
          <w:b/>
          <w:bCs/>
          <w:i w:val="false"/>
          <w:iCs w:val="false"/>
          <w:caps w:val="false"/>
          <w:color w:val="15171C"/>
          <w:sz w:val="21"/>
          <w:szCs w:val="21"/>
        </w:rPr>
        <w:t xml:space="preserve">Vice President, Product Management, Integrated Memory</w:t>
      </w:r>
      <w:r>
        <w:rPr>
          <w:rFonts w:ascii="Consolas" w:cs="Consolas" w:eastAsia="Consolas" w:hAnsi="Consolas"/>
          <w:b w:val="false"/>
          <w:bCs w:val="false"/>
          <w:i w:val="false"/>
          <w:iCs w:val="false"/>
          <w:caps/>
          <w:color w:val="7F838D"/>
          <w:spacing w:val="18"/>
          <w:sz w:val="15"/>
          <w:szCs w:val="15"/>
        </w:rPr>
        <w:t xml:space="preserve">     Penguin Solutions</w:t>
      </w:r>
      <w:r>
        <w:rPr>
          <w:rFonts w:ascii="Consolas" w:cs="Consolas" w:eastAsia="Consolas" w:hAnsi="Consolas"/>
          <w:b w:val="false"/>
          <w:bCs w:val="false"/>
          <w:i w:val="false"/>
          <w:iCs w:val="false"/>
          <w:caps w:val="false"/>
          <w:color w:val="7F838D"/>
          <w:sz w:val="15"/>
          <w:szCs w:val="15"/>
        </w:rPr>
        <w:t xml:space="preserve">     $250,000 to $300,000</w:t>
      </w:r>
    </w:p>
    <w:p>
      <w:pPr>
        <w:pBdr>
          <w:left w:val="single" w:color="8C2F2F" w:sz="18" w:space="10"/>
        </w:pBdr>
        <w:spacing w:after="80" w:before="60"/>
        <w:ind w:left="120"/>
      </w:pPr>
      <w:r>
        <w:rPr>
          <w:rFonts w:ascii="Consolas" w:cs="Consolas" w:eastAsia="Consolas" w:hAnsi="Consolas"/>
          <w:b w:val="false"/>
          <w:bCs w:val="false"/>
          <w:i w:val="false"/>
          <w:iCs w:val="false"/>
          <w:caps/>
          <w:color w:val="8C2F2F"/>
          <w:spacing w:val="24"/>
          <w:sz w:val="13"/>
          <w:szCs w:val="13"/>
        </w:rPr>
        <w:t xml:space="preserve">RULED OUT  </w:t>
      </w:r>
      <w:r>
        <w:rPr>
          <w:rFonts w:ascii="Calibri" w:cs="Calibri" w:eastAsia="Calibri" w:hAnsi="Calibri"/>
          <w:b w:val="false"/>
          <w:bCs w:val="false"/>
          <w:i w:val="false"/>
          <w:iCs w:val="false"/>
          <w:caps w:val="false"/>
          <w:color w:val="4B4F59"/>
          <w:sz w:val="19"/>
          <w:szCs w:val="19"/>
        </w:rPr>
        <w:t xml:space="preserve">Fifteen years, and a named engineering degree stated as required rather than preferred. The degree line alone ends it.</w:t>
      </w:r>
    </w:p>
    <w:p>
      <w:pPr>
        <w:spacing w:after="60" w:before="0"/>
        <w:ind w:left="320"/>
      </w:pPr>
      <w:r>
        <w:rPr>
          <w:rFonts w:ascii="Calibri" w:cs="Calibri" w:eastAsia="Calibri" w:hAnsi="Calibri"/>
          <w:b w:val="false"/>
          <w:bCs w:val="false"/>
          <w:i/>
          <w:iCs/>
          <w:caps w:val="false"/>
          <w:color w:val="7F838D"/>
          <w:sz w:val="18"/>
          <w:szCs w:val="18"/>
        </w:rPr>
        <w:t xml:space="preserve">“15+ years of product management experience in the high-tech industry, with leadership at the Director or VP level.”</w:t>
      </w:r>
    </w:p>
    <w:p>
      <w:pPr>
        <w:spacing w:after="60" w:before="0"/>
        <w:ind w:left="320"/>
      </w:pPr>
      <w:r>
        <w:rPr>
          <w:rFonts w:ascii="Calibri" w:cs="Calibri" w:eastAsia="Calibri" w:hAnsi="Calibri"/>
          <w:b w:val="false"/>
          <w:bCs w:val="false"/>
          <w:i/>
          <w:iCs/>
          <w:caps w:val="false"/>
          <w:color w:val="7F838D"/>
          <w:sz w:val="18"/>
          <w:szCs w:val="18"/>
        </w:rPr>
        <w:t xml:space="preserve">“Bachelor's degree in Electrical Engineering, Computer Engineering, or a related field required.”</w:t>
      </w:r>
    </w:p>
    <w:p>
      <w:r>
        <w:br w:type="page"/>
      </w:r>
    </w:p>
    <w:p>
      <w:pPr>
        <w:pBdr>
          <w:bottom w:val="single" w:color="15171C" w:sz="12"/>
        </w:pBdr>
        <w:spacing w:after="0" w:before="360"/>
      </w:pPr>
      <w:r>
        <w:rPr>
          <w:rFonts w:ascii="Calibri" w:cs="Calibri" w:eastAsia="Calibri" w:hAnsi="Calibri"/>
          <w:b w:val="false"/>
          <w:bCs w:val="false"/>
          <w:i w:val="false"/>
          <w:iCs w:val="false"/>
          <w:caps w:val="false"/>
          <w:color w:val="444444"/>
          <w:sz w:val="2"/>
          <w:szCs w:val="2"/>
        </w:rPr>
        <w:t xml:space="preserve"/>
      </w:r>
    </w:p>
    <w:p>
      <w:pPr>
        <w:pStyle w:val="Heading1"/>
        <w:spacing w:after="160" w:before="140"/>
      </w:pPr>
      <w:r>
        <w:rPr>
          <w:rFonts w:ascii="Georgia" w:cs="Georgia" w:eastAsia="Georgia" w:hAnsi="Georgia"/>
          <w:b w:val="false"/>
          <w:bCs w:val="false"/>
          <w:i w:val="false"/>
          <w:iCs w:val="false"/>
          <w:caps w:val="false"/>
          <w:color w:val="15171C"/>
          <w:sz w:val="34"/>
          <w:szCs w:val="34"/>
        </w:rPr>
        <w:t xml:space="preserve">What I would actually do with this</w:t>
      </w:r>
    </w:p>
    <w:p>
      <w:pPr>
        <w:spacing w:after="120" w:before="0" w:line="300"/>
      </w:pPr>
      <w:r>
        <w:rPr>
          <w:rFonts w:ascii="Calibri" w:cs="Calibri" w:eastAsia="Calibri" w:hAnsi="Calibri"/>
          <w:b w:val="false"/>
          <w:bCs w:val="false"/>
          <w:i w:val="false"/>
          <w:iCs w:val="false"/>
          <w:caps w:val="false"/>
          <w:color w:val="4B4F59"/>
          <w:sz w:val="20"/>
          <w:szCs w:val="20"/>
        </w:rPr>
        <w:t xml:space="preserve">Apply to Later and SewerAI this week, and treat them as the same bet rather than a ranked pair: both say ten years, both are VP titles, and between them they are the whole of what this week's market has for you at your tenure. SewerAI has the better range and the closer market analogue. Later has the more honest description of the team you would run.</w:t>
      </w:r>
    </w:p>
    <w:p>
      <w:pPr>
        <w:spacing w:after="120" w:before="0" w:line="300"/>
      </w:pPr>
      <w:r>
        <w:rPr>
          <w:rFonts w:ascii="Calibri" w:cs="Calibri" w:eastAsia="Calibri" w:hAnsi="Calibri"/>
          <w:b w:val="false"/>
          <w:bCs w:val="false"/>
          <w:i w:val="false"/>
          <w:iCs w:val="false"/>
          <w:caps w:val="false"/>
          <w:color w:val="4B4F59"/>
          <w:sz w:val="20"/>
          <w:szCs w:val="20"/>
        </w:rPr>
        <w:t xml:space="preserve">Then fix one line on the resume before you send it anywhere else. It currently says "cross-functional team of 15" and stops. That is the worst of both readings: a generous recruiter infers fifteen reports and is disappointed later, a careful one infers none and screens you out now. Say three direct reports and a fifteen-person cross-functional team. Three is the smaller headline and it is the one that survives a reference check, and the fifteen still does the work it was doing.</w:t>
      </w:r>
    </w:p>
    <w:p>
      <w:pPr>
        <w:spacing w:after="120" w:before="0" w:line="300"/>
      </w:pPr>
      <w:r>
        <w:rPr>
          <w:rFonts w:ascii="Calibri" w:cs="Calibri" w:eastAsia="Calibri" w:hAnsi="Calibri"/>
          <w:b w:val="false"/>
          <w:bCs w:val="false"/>
          <w:i w:val="false"/>
          <w:iCs w:val="false"/>
          <w:caps w:val="false"/>
          <w:color w:val="4B4F59"/>
          <w:sz w:val="20"/>
          <w:szCs w:val="20"/>
        </w:rPr>
        <w:t xml:space="preserve">On the twelve-year wall: it is worth knowing that it is a wall made of time rather than of skill, because that changes what you do about it. Nothing on your resume gets you past it this year. What does change the picture is the title on your next role. A year at VP rather than Senior Director makes the fifteen-year postings readable in a way that another year at Senior Director does not.</w:t>
      </w:r>
    </w:p>
    <w:p>
      <w:pPr>
        <w:spacing w:after="120" w:before="0" w:line="300"/>
      </w:pPr>
      <w:r>
        <w:rPr>
          <w:rFonts w:ascii="Calibri" w:cs="Calibri" w:eastAsia="Calibri" w:hAnsi="Calibri"/>
          <w:b w:val="false"/>
          <w:bCs w:val="false"/>
          <w:i w:val="false"/>
          <w:iCs w:val="false"/>
          <w:caps w:val="false"/>
          <w:color w:val="4B4F59"/>
          <w:sz w:val="20"/>
          <w:szCs w:val="20"/>
        </w:rPr>
        <w:t xml:space="preserve">Finally, tell me where this calibration is wrong. This is a first run, and the two most likely errors are the floor and the level. If $200,000 is leaving money on the table, or if you would take a strong Director role at a company you believe in, both are one line to change.</w:t>
      </w:r>
    </w:p>
    <w:sectPr>
      <w:pgSz w:w="12240" w:h="15840" w:orient="portrait"/>
      <w:pgMar w:top="1080" w:right="1080" w:bottom="1080" w:left="1080" w:header="640" w:footer="64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20" w:hanging="300"/>
      </w:pPr>
      <w:rPr>
        <w:rFonts w:ascii="Consolas" w:cs="Consolas" w:eastAsia="Consolas" w:hAnsi="Consolas"/>
        <w:b/>
        <w:bCs/>
        <w:color w:val="1F4E63"/>
        <w:sz w:val="19"/>
        <w:szCs w:val="19"/>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4B4F59"/>
        <w:sz w:val="20"/>
        <w:szCs w:val="20"/>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Georgia" w:cs="Georgia" w:eastAsia="Georgia" w:hAnsi="Georgia"/>
      <w:b w:val="false"/>
      <w:bCs w:val="false"/>
      <w:color w:val="15171C"/>
      <w:sz w:val="34"/>
      <w:szCs w:val="34"/>
    </w:rPr>
  </w:style>
  <w:style w:type="paragraph" w:styleId="Heading2">
    <w:name w:val="Heading 2"/>
    <w:basedOn w:val="Normal"/>
    <w:next w:val="Normal"/>
    <w:qFormat/>
    <w:rPr>
      <w:rFonts w:ascii="Georgia" w:cs="Georgia" w:eastAsia="Georgia" w:hAnsi="Georgia"/>
      <w:b w:val="false"/>
      <w:bCs w:val="false"/>
      <w:color w:val="15171C"/>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2026-09-28T14:46:20.431Z</dcterms:created>
  <dcterms:modified xsi:type="dcterms:W3CDTF">2026-09-28T14:46:20.446Z</dcterms:modified>
</cp:coreProperties>
</file>

<file path=docProps/custom.xml><?xml version="1.0" encoding="utf-8"?>
<Properties xmlns="http://schemas.openxmlformats.org/officeDocument/2006/custom-properties" xmlns:vt="http://schemas.openxmlformats.org/officeDocument/2006/docPropsVTypes"/>
</file>