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29 SEPTEMBER 2026</w:t>
      </w:r>
    </w:p>
    <w:p>
      <w:pPr>
        <w:spacing w:after="40"/>
      </w:pPr>
      <w:r>
        <w:rPr>
          <w:rFonts w:ascii="Georgia" w:cs="Georgia" w:eastAsia="Georgia" w:hAnsi="Georgia"/>
          <w:b w:val="false"/>
          <w:bCs w:val="false"/>
          <w:i w:val="false"/>
          <w:iCs w:val="false"/>
          <w:caps w:val="false"/>
          <w:color w:val="15171C"/>
          <w:sz w:val="44"/>
          <w:szCs w:val="44"/>
        </w:rPr>
        <w:t xml:space="preserve">Robert J. Shaker II</w:t>
      </w:r>
    </w:p>
    <w:p>
      <w:pPr>
        <w:spacing w:after="260"/>
      </w:pPr>
      <w:r>
        <w:rPr>
          <w:rFonts w:ascii="Consolas" w:cs="Consolas" w:eastAsia="Consolas" w:hAnsi="Consolas"/>
          <w:b w:val="false"/>
          <w:bCs w:val="false"/>
          <w:i w:val="false"/>
          <w:iCs w:val="false"/>
          <w:caps w:val="false"/>
          <w:color w:val="7F838D"/>
          <w:sz w:val="16"/>
          <w:szCs w:val="16"/>
        </w:rPr>
        <w:t xml:space="preserve">SVP and above  ·  United States, remote or on-site  ·  $275,000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credential you were worried about is the one the market is asking for</w:t>
      </w:r>
    </w:p>
    <w:p>
      <w:pPr>
        <w:spacing w:after="120" w:before="0" w:line="300"/>
      </w:pPr>
      <w:r>
        <w:rPr>
          <w:rFonts w:ascii="Calibri" w:cs="Calibri" w:eastAsia="Calibri" w:hAnsi="Calibri"/>
          <w:b w:val="false"/>
          <w:bCs w:val="false"/>
          <w:i w:val="false"/>
          <w:iCs w:val="false"/>
          <w:caps w:val="false"/>
          <w:color w:val="4B4F59"/>
          <w:sz w:val="20"/>
          <w:szCs w:val="20"/>
        </w:rPr>
        <w:t xml:space="preserve">A quarter of the roles that clear your floor name AI experience in the requirements block, not as a nice-to-have in the preamble. Two of your top three name it outright. Yesterday you were concerned that the ActiveState board work read as a demotion on paper. It does not read as a demotion to the people writing these postings; it reads as the thing they cannot find.</w:t>
      </w:r>
    </w:p>
    <w:p>
      <w:pPr>
        <w:spacing w:after="120" w:before="0" w:line="300"/>
      </w:pPr>
      <w:r>
        <w:rPr>
          <w:rFonts w:ascii="Calibri" w:cs="Calibri" w:eastAsia="Calibri" w:hAnsi="Calibri"/>
          <w:b w:val="false"/>
          <w:bCs w:val="false"/>
          <w:i w:val="false"/>
          <w:iCs w:val="false"/>
          <w:caps w:val="false"/>
          <w:color w:val="4B4F59"/>
          <w:sz w:val="20"/>
          <w:szCs w:val="20"/>
        </w:rPr>
        <w:t xml:space="preserve">That changes what you lead with in a conversation rather than what is on the page. The resume already puts the board work first. The next step is that it should be the second thing out of your mouth on a screen, not an explanation you get to after the operating history.</w:t>
      </w:r>
    </w:p>
    <w:p>
      <w:pPr>
        <w:spacing w:after="120" w:before="0" w:line="300"/>
      </w:pPr>
      <w:r>
        <w:rPr>
          <w:rFonts w:ascii="Calibri" w:cs="Calibri" w:eastAsia="Calibri" w:hAnsi="Calibri"/>
          <w:b w:val="false"/>
          <w:bCs w:val="false"/>
          <w:i w:val="false"/>
          <w:iCs w:val="false"/>
          <w:caps w:val="false"/>
          <w:color w:val="4B4F59"/>
          <w:sz w:val="20"/>
          <w:szCs w:val="20"/>
        </w:rPr>
        <w:t xml:space="preserve">One caution on reading the table below. Sprinklr shows the widest band in the document at $285,000 to $475,000, and the ceiling is misleading: its requirements gate on customer service and CX platform depth, CCaaS preferred, which is not your track record. The band is real and the role is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Stage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results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1,126</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Across every query, both channels</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817</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Same posting returned by several searches, and employers listing one job twice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Survive title and location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105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Read end to end, full posting text</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55 of 105</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other 50 state no number anywhere</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Top of band at or above $275k</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40</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Before reading a single requirement</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Not hard-gated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34</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the automated gate, before I read them</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Removed by your own rules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IDIQ, who said no. FanDuel, gambling.</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your time this week</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Chief Product Officer</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ASAPP</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$350,000 - $400,000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STRONGEST BAND</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   first seen 29 Sep</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ux0i-8a62nxl1kfxj26ss">
        <w:r>
          <w:rPr>
            <w:rFonts w:ascii="Consolas" w:cs="Consolas" w:eastAsia="Consolas" w:hAnsi="Consolas"/>
            <w:color w:val="1F4E63"/>
            <w:sz w:val="16"/>
            <w:szCs w:val="16"/>
            <w:u w:val="single"/>
          </w:rPr>
          <w:t xml:space="preserve">View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Highest floor in the entire sweep, and the only role here whose band starts above your floor rather than straddling it. The requirement is written in the language of your actual career rather than a domain you would have to learn.</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New York. The posting is thin on published requirements, which cuts both ways: less to disqualify you, and less to prepare against.</w:t>
      </w:r>
    </w:p>
    <w:p>
      <w:pPr>
        <w:spacing w:after="60" w:before="0"/>
        <w:ind w:left="320"/>
      </w:pPr>
      <w:r>
        <w:rPr>
          <w:rFonts w:ascii="Calibri" w:cs="Calibri" w:eastAsia="Calibri" w:hAnsi="Calibri"/>
          <w:b w:val="false"/>
          <w:bCs w:val="false"/>
          <w:i/>
          <w:iCs/>
          <w:caps w:val="false"/>
          <w:color w:val="7F838D"/>
          <w:sz w:val="18"/>
          <w:szCs w:val="18"/>
        </w:rPr>
        <w:t xml:space="preserve">“Enterprise product judgment: Experience in complex B2B environments with deep integrations, many stakeholders, demanding production requirements, and deployments that run for years.”</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Chief Product Officer</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Monstro</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$336,000 - $399,000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CLOSEST FIT</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first seen 29 Sep</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occ4my-bdd8xwutkeqrap">
        <w:r>
          <w:rPr>
            <w:rFonts w:ascii="Consolas" w:cs="Consolas" w:eastAsia="Consolas" w:hAnsi="Consolas"/>
            <w:color w:val="1F4E63"/>
            <w:sz w:val="16"/>
            <w:szCs w:val="16"/>
            <w:u w:val="single"/>
          </w:rPr>
          <w:t xml:space="preserve">View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This is the posting that makes the case for the resume change. It wants CPO-level time in an early or growth stage company and hands-on AI practice, which is exactly the pair you have and exactly the pair most CPOs at this band do not.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15+ years in product overall. You clear it, but the framing is product-native and your route was through technology leadership, so say the years plainly rather than letting them count backwards from titles.</w:t>
      </w:r>
    </w:p>
    <w:p>
      <w:pPr>
        <w:spacing w:after="60" w:before="0"/>
        <w:ind w:left="320"/>
      </w:pPr>
      <w:r>
        <w:rPr>
          <w:rFonts w:ascii="Calibri" w:cs="Calibri" w:eastAsia="Calibri" w:hAnsi="Calibri"/>
          <w:b w:val="false"/>
          <w:bCs w:val="false"/>
          <w:i/>
          <w:iCs/>
          <w:caps w:val="false"/>
          <w:color w:val="7F838D"/>
          <w:sz w:val="18"/>
          <w:szCs w:val="18"/>
        </w:rPr>
        <w:t xml:space="preserve">“15+ years in product overall, with meaningful time at the CPO or equivalent level in an early-stage or growth-stage environment”</w:t>
      </w:r>
    </w:p>
    <w:p>
      <w:pPr>
        <w:spacing w:after="60" w:before="0"/>
        <w:ind w:left="320"/>
      </w:pPr>
      <w:r>
        <w:rPr>
          <w:rFonts w:ascii="Calibri" w:cs="Calibri" w:eastAsia="Calibri" w:hAnsi="Calibri"/>
          <w:b w:val="false"/>
          <w:bCs w:val="false"/>
          <w:i/>
          <w:iCs/>
          <w:caps w:val="false"/>
          <w:color w:val="7F838D"/>
          <w:sz w:val="18"/>
          <w:szCs w:val="18"/>
        </w:rPr>
        <w:t xml:space="preserve">“AI-native mindset with hands-on experience across prototyping, requirements, user stories, and technical handoff”</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3.  </w:t>
      </w:r>
      <w:r>
        <w:rPr>
          <w:rFonts w:ascii="Georgia" w:cs="Georgia" w:eastAsia="Georgia" w:hAnsi="Georgia"/>
          <w:b w:val="false"/>
          <w:bCs w:val="false"/>
          <w:i w:val="false"/>
          <w:iCs w:val="false"/>
          <w:caps w:val="false"/>
          <w:color w:val="15171C"/>
          <w:sz w:val="26"/>
          <w:szCs w:val="26"/>
        </w:rPr>
        <w:t xml:space="preserve">Head of Product, Business Banking  /  Personal Banking</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Mercury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$273,800 - $362,100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READ THE BAND CAREFULLY</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New York, NY   ·   two roles, same band</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_firdmf3hhcfcggwwb7w8">
        <w:r>
          <w:rPr>
            <w:rFonts w:ascii="Consolas" w:cs="Consolas" w:eastAsia="Consolas" w:hAnsi="Consolas"/>
            <w:color w:val="1F4E63"/>
            <w:sz w:val="16"/>
            <w:szCs w:val="16"/>
            <w:u w:val="single"/>
          </w:rPr>
          <w:t xml:space="preserve">View the posting</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Two separate roles at the same band, which means two shots at one employer and a signal they are building out a product org rather than backfilling.</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bottom of the band is $273,800, which is $1,200 under your floor. Only the top of their range clears it. That is a negotiation you should enter knowing the number rather than discovering it at offer.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a look, with the caveat named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p7hf2dijufelgodvi8g07">
              <w:r>
                <w:rPr>
                  <w:rFonts w:ascii="Calibri" w:cs="Calibri" w:eastAsia="Calibri" w:hAnsi="Calibri"/>
                  <w:b/>
                  <w:bCs/>
                  <w:color w:val="1F4E63"/>
                  <w:sz w:val="19"/>
                  <w:szCs w:val="19"/>
                  <w:u w:val="single"/>
                </w:rPr>
                <w:t xml:space="preserve">SVP, Product Management, Sprinklr</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$285,000 - $475,000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Widest band in the sweep and the ceiling is not for you. Requires 15+ years with 10+ in leadership, plus “deep expertise in customer service / CX platforms (CCaaS preferred)”. The domain gate is real.</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hevk--adpvnmittngvsik">
              <w:r>
                <w:rPr>
                  <w:rFonts w:ascii="Calibri" w:cs="Calibri" w:eastAsia="Calibri" w:hAnsi="Calibri"/>
                  <w:b/>
                  <w:bCs/>
                  <w:color w:val="1F4E63"/>
                  <w:sz w:val="19"/>
                  <w:szCs w:val="19"/>
                  <w:u w:val="single"/>
                </w:rPr>
                <w:t xml:space="preserve">SVP, Product Experience, Horizon Media</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$250,000 - $350,000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Band straddles your floor. Media agency rather than product company, which is a different operating model from anything on your resume.</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yladm9dhpb3of-u54xxhf">
              <w:r>
                <w:rPr>
                  <w:rFonts w:ascii="Calibri" w:cs="Calibri" w:eastAsia="Calibri" w:hAnsi="Calibri"/>
                  <w:b/>
                  <w:bCs/>
                  <w:color w:val="1F4E63"/>
                  <w:sz w:val="19"/>
                  <w:szCs w:val="19"/>
                  <w:u w:val="single"/>
                </w:rPr>
                <w:t xml:space="preserve">Chief Product Officer, Wysh</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$250,000 - $300,000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Clears at the top only. Small company, so the CPO title carries less org than the band suggests. Worth a conversation, not a campaign.</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w1gakeqxowczr0w_f5rrh">
              <w:r>
                <w:rPr>
                  <w:rFonts w:ascii="Calibri" w:cs="Calibri" w:eastAsia="Calibri" w:hAnsi="Calibri"/>
                  <w:b/>
                  <w:bCs/>
                  <w:color w:val="1F4E63"/>
                  <w:sz w:val="19"/>
                  <w:szCs w:val="19"/>
                  <w:u w:val="single"/>
                </w:rPr>
                <w:t xml:space="preserve">SVP, Email Product Area, Sinch</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$252,800 - $316,000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 years stated. Narrow product surface for an SVP seat. You looked at Sinch in the 22 September sweep and it was the recommendation then.</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Removed by your own rules</w:t>
      </w:r>
    </w:p>
    <w:p>
      <w:pPr>
        <w:spacing w:after="120" w:before="0" w:line="300"/>
      </w:pPr>
      <w:r>
        <w:rPr>
          <w:rFonts w:ascii="Calibri" w:cs="Calibri" w:eastAsia="Calibri" w:hAnsi="Calibri"/>
          <w:b w:val="false"/>
          <w:bCs w:val="false"/>
          <w:i w:val="false"/>
          <w:iCs w:val="false"/>
          <w:caps w:val="false"/>
          <w:color w:val="4B4F59"/>
          <w:sz w:val="20"/>
          <w:szCs w:val="20"/>
        </w:rPr>
        <w:t xml:space="preserve">Both of these would have ranked in your top five on band and fit. They are listed rather than silently dropped, because a filter you cannot see is a filter you cannot correct. Neither carries a link today: the exclusion pass removed them from the data before the links were captured, which is a flaw in my tooling rather than a judgement about the roles. Fixed for tomorrow, so future removals will link to the posting you can check me against.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Chief Product Officer</w:t>
      </w:r>
      <w:r>
        <w:rPr>
          <w:rFonts w:ascii="Consolas" w:cs="Consolas" w:eastAsia="Consolas" w:hAnsi="Consolas"/>
          <w:b w:val="false"/>
          <w:bCs w:val="false"/>
          <w:i w:val="false"/>
          <w:iCs w:val="false"/>
          <w:caps/>
          <w:color w:val="7F838D"/>
          <w:spacing w:val="18"/>
          <w:sz w:val="15"/>
          <w:szCs w:val="15"/>
        </w:rPr>
        <w:t xml:space="preserve">     IDIQ</w:t>
      </w:r>
      <w:r>
        <w:rPr>
          <w:rFonts w:ascii="Consolas" w:cs="Consolas" w:eastAsia="Consolas" w:hAnsi="Consolas"/>
          <w:b w:val="false"/>
          <w:bCs w:val="false"/>
          <w:i w:val="false"/>
          <w:iCs w:val="false"/>
          <w:caps w:val="false"/>
          <w:color w:val="7F838D"/>
          <w:sz w:val="15"/>
          <w:szCs w:val="15"/>
        </w:rPr>
        <w:t xml:space="preserve">     $285,000 - $325,000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They turned you down on 29 September. Now in your company_block, so it will not surface again.</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SVP, Product, Core Customer Experiences</w:t>
      </w:r>
      <w:r>
        <w:rPr>
          <w:rFonts w:ascii="Consolas" w:cs="Consolas" w:eastAsia="Consolas" w:hAnsi="Consolas"/>
          <w:b w:val="false"/>
          <w:bCs w:val="false"/>
          <w:i w:val="false"/>
          <w:iCs w:val="false"/>
          <w:caps/>
          <w:color w:val="7F838D"/>
          <w:spacing w:val="18"/>
          <w:sz w:val="15"/>
          <w:szCs w:val="15"/>
        </w:rPr>
        <w:t xml:space="preserve">     FanDuel</w:t>
      </w:r>
      <w:r>
        <w:rPr>
          <w:rFonts w:ascii="Consolas" w:cs="Consolas" w:eastAsia="Consolas" w:hAnsi="Consolas"/>
          <w:b w:val="false"/>
          <w:bCs w:val="false"/>
          <w:i w:val="false"/>
          <w:iCs w:val="false"/>
          <w:caps w:val="false"/>
          <w:color w:val="7F838D"/>
          <w:sz w:val="15"/>
          <w:szCs w:val="15"/>
        </w:rPr>
        <w:t xml:space="preserve">     $287,000 - $402,000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Gambling. Nothing in the name says so, which is why the rule matches the posting text rather than the employer name.</w:t>
      </w:r>
    </w:p>
    <w:p>
      <w:pPr>
        <w:spacing w:after="60" w:before="0"/>
        <w:ind w:left="320"/>
      </w:pPr>
      <w:r>
        <w:rPr>
          <w:rFonts w:ascii="Calibri" w:cs="Calibri" w:eastAsia="Calibri" w:hAnsi="Calibri"/>
          <w:b w:val="false"/>
          <w:bCs w:val="false"/>
          <w:i/>
          <w:iCs/>
          <w:caps w:val="false"/>
          <w:color w:val="7F838D"/>
          <w:sz w:val="18"/>
          <w:szCs w:val="18"/>
        </w:rPr>
        <w:t xml:space="preserve">“Champion Responsible Gaming as a product discipline, embedding tools and safeguards (deposit limits, self-exclusion, cool-off periods, affordability checks) directly into core flows.”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ASAPP and Monstro this week, in that order. ASAPP because it is the only band in the document that starts above your floor instead of straddling it. Monstro because its requirements block reads like it was written after seeing your last eighteen months, and roles that specific do not stay open.</w:t>
      </w:r>
    </w:p>
    <w:p>
      <w:pPr>
        <w:spacing w:after="120" w:before="0" w:line="300"/>
      </w:pPr>
      <w:r>
        <w:rPr>
          <w:rFonts w:ascii="Calibri" w:cs="Calibri" w:eastAsia="Calibri" w:hAnsi="Calibri"/>
          <w:b w:val="false"/>
          <w:bCs w:val="false"/>
          <w:i w:val="false"/>
          <w:iCs w:val="false"/>
          <w:caps w:val="false"/>
          <w:color w:val="4B4F59"/>
          <w:sz w:val="20"/>
          <w:szCs w:val="20"/>
        </w:rPr>
        <w:t xml:space="preserve">Mercury as a pair, one application each, knowing that $273,800 is under your floor and the conversation has to reach the top of their range to work.</w:t>
      </w:r>
    </w:p>
    <w:p>
      <w:pPr>
        <w:spacing w:after="60" w:before="0" w:line="300"/>
      </w:pPr>
      <w:r>
        <w:rPr>
          <w:rFonts w:ascii="Calibri" w:cs="Calibri" w:eastAsia="Calibri" w:hAnsi="Calibri"/>
          <w:b w:val="false"/>
          <w:bCs w:val="false"/>
          <w:i w:val="false"/>
          <w:iCs w:val="false"/>
          <w:caps w:val="false"/>
          <w:color w:val="4B4F59"/>
          <w:sz w:val="20"/>
          <w:szCs w:val="20"/>
        </w:rPr>
        <w:t xml:space="preserve">Say the AI work second, not last. A quarter of the roles clearing your floor ask for it in writing and two of your top three name it explicitly. You have been treating it as the thing to explain. It is the thing to lead with.</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x0i-8a62nxl1kfxj26ss" Type="http://schemas.openxmlformats.org/officeDocument/2006/relationships/hyperlink" Target="https://www.linkedin.com/jobs/view/chief-product-officer-at-asapp-4468166158" TargetMode="External"/><Relationship Id="rIdocc4my-bdd8xwutkeqrap" Type="http://schemas.openxmlformats.org/officeDocument/2006/relationships/hyperlink" Target="https://www.linkedin.com/jobs/view/chief-product-officer-at-monstro-4469346832" TargetMode="External"/><Relationship Id="rId_firdmf3hhcfcggwwb7w8" Type="http://schemas.openxmlformats.org/officeDocument/2006/relationships/hyperlink" Target="https://www.linkedin.com/jobs/view/head-of-product-business-banking-at-mercury-4463916165" TargetMode="External"/><Relationship Id="rIdp7hf2dijufelgodvi8g07" Type="http://schemas.openxmlformats.org/officeDocument/2006/relationships/hyperlink" Target="https://www.linkedin.com/jobs/view/senior-vice-president-product-management-sprinklr-service-at-sprinklr-4441271777" TargetMode="External"/><Relationship Id="rIdhevk--adpvnmittngvsik" Type="http://schemas.openxmlformats.org/officeDocument/2006/relationships/hyperlink" Target="https://www.linkedin.com/jobs/view/svp-product-experience-at-horizon-media-4436623152" TargetMode="External"/><Relationship Id="rIdyladm9dhpb3of-u54xxhf" Type="http://schemas.openxmlformats.org/officeDocument/2006/relationships/hyperlink" Target="https://www.linkedin.com/jobs/view/chief-product-officer-at-wysh-4470618597" TargetMode="External"/><Relationship Id="rIdw1gakeqxowczr0w_f5rrh" Type="http://schemas.openxmlformats.org/officeDocument/2006/relationships/hyperlink" Target="https://www.linkedin.com/jobs/view/svp-email-product-area-at-sinch-4464215264"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2026-09-29T22:15:13.786Z</dcterms:created>
  <dcterms:modified xsi:type="dcterms:W3CDTF">2026-09-29T22:15:13.787Z</dcterms:modified>
</cp:coreProperties>
</file>

<file path=docProps/custom.xml><?xml version="1.0" encoding="utf-8"?>
<Properties xmlns="http://schemas.openxmlformats.org/officeDocument/2006/custom-properties" xmlns:vt="http://schemas.openxmlformats.org/officeDocument/2006/docPropsVTypes"/>
</file>