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onsolas" w:cs="Consolas" w:eastAsia="Consolas" w:hAnsi="Consolas"/>
          <w:b/>
          <w:bCs/>
          <w:i w:val="false"/>
          <w:iCs w:val="false"/>
          <w:caps/>
          <w:color w:val="1F4E63"/>
          <w:spacing w:val="30"/>
          <w:sz w:val="15"/>
          <w:szCs w:val="15"/>
        </w:rPr>
        <w:t xml:space="preserve">ROLE SWEEP  ·  29 SEPTEMBER 2026</w:t>
      </w:r>
    </w:p>
    <w:p>
      <w:pPr>
        <w:spacing w:after="40"/>
      </w:pPr>
      <w:r>
        <w:rPr>
          <w:rFonts w:ascii="Georgia" w:cs="Georgia" w:eastAsia="Georgia" w:hAnsi="Georgia"/>
          <w:b w:val="false"/>
          <w:bCs w:val="false"/>
          <w:i w:val="false"/>
          <w:iCs w:val="false"/>
          <w:caps w:val="false"/>
          <w:color w:val="15171C"/>
          <w:sz w:val="44"/>
          <w:szCs w:val="44"/>
        </w:rPr>
        <w:t xml:space="preserve">Robert J. Shaker II</w:t>
      </w:r>
    </w:p>
    <w:p>
      <w:pPr>
        <w:spacing w:after="260"/>
      </w:pPr>
      <w:r>
        <w:rPr>
          <w:rFonts w:ascii="Consolas" w:cs="Consolas" w:eastAsia="Consolas" w:hAnsi="Consolas"/>
          <w:b w:val="false"/>
          <w:bCs w:val="false"/>
          <w:i w:val="false"/>
          <w:iCs w:val="false"/>
          <w:caps w:val="false"/>
          <w:color w:val="7F838D"/>
          <w:sz w:val="16"/>
          <w:szCs w:val="16"/>
        </w:rPr>
        <w:t xml:space="preserve">SVP and above  ·  United States, remote or on-site  ·  $275,000 base floor</w:t>
      </w:r>
    </w:p>
    <w:p>
      <w:pPr>
        <w:pBdr>
          <w:bottom w:val="single" w:color="15171C"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1F4E63"/>
          <w:spacing w:val="30"/>
          <w:sz w:val="15"/>
          <w:szCs w:val="15"/>
        </w:rPr>
        <w:t xml:space="preserve">THE FINDING</w:t>
      </w:r>
    </w:p>
    <w:p>
      <w:pPr>
        <w:pStyle w:val="Heading1"/>
        <w:spacing w:after="160" w:before="0"/>
      </w:pPr>
      <w:r>
        <w:rPr>
          <w:rFonts w:ascii="Georgia" w:cs="Georgia" w:eastAsia="Georgia" w:hAnsi="Georgia"/>
          <w:b w:val="false"/>
          <w:bCs w:val="false"/>
          <w:i w:val="false"/>
          <w:iCs w:val="false"/>
          <w:caps w:val="false"/>
          <w:color w:val="15171C"/>
          <w:sz w:val="34"/>
          <w:szCs w:val="34"/>
        </w:rPr>
        <w:t xml:space="preserve">The credential you were worried about is the one the market is asking for</w:t>
      </w:r>
    </w:p>
    <w:p>
      <w:pPr>
        <w:spacing w:after="120" w:before="0" w:line="300"/>
      </w:pPr>
      <w:r>
        <w:rPr>
          <w:rFonts w:ascii="Calibri" w:cs="Calibri" w:eastAsia="Calibri" w:hAnsi="Calibri"/>
          <w:b w:val="false"/>
          <w:bCs w:val="false"/>
          <w:i w:val="false"/>
          <w:iCs w:val="false"/>
          <w:caps w:val="false"/>
          <w:color w:val="4B4F59"/>
          <w:sz w:val="20"/>
          <w:szCs w:val="20"/>
        </w:rPr>
        <w:t xml:space="preserve">A quarter of the roles that clear your floor name AI experience in the requirements block, not as a nice-to-have in the preamble. Two of your top three name it outright. Yesterday you were concerned that the ActiveState board work read as a demotion on paper. It does not read as a demotion to the people writing these postings; it reads as the thing they cannot find.</w:t>
      </w:r>
    </w:p>
    <w:p>
      <w:pPr>
        <w:spacing w:after="120" w:before="0" w:line="300"/>
      </w:pPr>
      <w:r>
        <w:rPr>
          <w:rFonts w:ascii="Calibri" w:cs="Calibri" w:eastAsia="Calibri" w:hAnsi="Calibri"/>
          <w:b w:val="false"/>
          <w:bCs w:val="false"/>
          <w:i w:val="false"/>
          <w:iCs w:val="false"/>
          <w:caps w:val="false"/>
          <w:color w:val="4B4F59"/>
          <w:sz w:val="20"/>
          <w:szCs w:val="20"/>
        </w:rPr>
        <w:t xml:space="preserve">That changes what you lead with in a conversation rather than what is on the page. The resume already puts the board work first. The next step is that it should be the second thing out of your mouth on a screen, not an explanation you get to after the operating history.</w:t>
      </w:r>
    </w:p>
    <w:p>
      <w:pPr>
        <w:spacing w:after="120" w:before="0" w:line="300"/>
      </w:pPr>
      <w:r>
        <w:rPr>
          <w:rFonts w:ascii="Calibri" w:cs="Calibri" w:eastAsia="Calibri" w:hAnsi="Calibri"/>
          <w:b w:val="false"/>
          <w:bCs w:val="false"/>
          <w:i w:val="false"/>
          <w:iCs w:val="false"/>
          <w:caps w:val="false"/>
          <w:color w:val="4B4F59"/>
          <w:sz w:val="20"/>
          <w:szCs w:val="20"/>
        </w:rPr>
        <w:t xml:space="preserve">One caution on reading the table below. Sprinklr shows the widest band in the document at $285,000 to $475,000, and the ceiling is misleading: its requirements gate on customer service and CX platform depth, CCaaS preferred, which is not your track record. The band is real and the role is not.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1500"/>
        <w:gridCol w:w="5180"/>
      </w:tblGrid>
      <w:tr>
        <w:trPr>
          <w:tblHeader/>
        </w:trPr>
        <w:tc>
          <w:tcPr>
            <w:tcW w:type="dxa" w:w="3400"/>
            <w:tcBorders>
              <w:top w:val="single" w:color="1F4E63" w:sz="4"/>
              <w:left w:val="single" w:color="1F4E63" w:sz="4"/>
              <w:bottom w:val="single" w:color="1F4E63" w:sz="4"/>
              <w:right w:val="single" w:color="1F4E63" w:sz="4"/>
            </w:tcBorders>
            <w:shd w:fill="1F4E63"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Stage</w:t>
            </w:r>
          </w:p>
        </w:tc>
        <w:tc>
          <w:tcPr>
            <w:tcW w:type="dxa" w:w="1500"/>
            <w:tcBorders>
              <w:top w:val="single" w:color="1F4E63" w:sz="4"/>
              <w:left w:val="single" w:color="1F4E63" w:sz="4"/>
              <w:bottom w:val="single" w:color="1F4E63" w:sz="4"/>
              <w:right w:val="single" w:color="1F4E63" w:sz="4"/>
            </w:tcBorders>
            <w:shd w:fill="1F4E63"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Count</w:t>
            </w:r>
          </w:p>
        </w:tc>
        <w:tc>
          <w:tcPr>
            <w:tcW w:type="dxa" w:w="5180"/>
            <w:tcBorders>
              <w:top w:val="single" w:color="1F4E63" w:sz="4"/>
              <w:left w:val="single" w:color="1F4E63" w:sz="4"/>
              <w:bottom w:val="single" w:color="1F4E63" w:sz="4"/>
              <w:right w:val="single" w:color="1F4E63" w:sz="4"/>
            </w:tcBorders>
            <w:shd w:fill="1F4E63"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What it means</w:t>
            </w:r>
          </w:p>
        </w:tc>
      </w:tr>
      <w:tr>
        <w:tc>
          <w:tcPr>
            <w:tcW w:type="dxa" w:w="34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Raw results</w:t>
            </w:r>
          </w:p>
        </w:tc>
        <w:tc>
          <w:tcPr>
            <w:tcW w:type="dxa" w:w="15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1,126</w:t>
            </w:r>
          </w:p>
        </w:tc>
        <w:tc>
          <w:tcPr>
            <w:tcW w:type="dxa" w:w="518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Across every query, both channels</w:t>
            </w:r>
          </w:p>
        </w:tc>
      </w:tr>
      <w:tr>
        <w:tc>
          <w:tcPr>
            <w:tcW w:type="dxa" w:w="34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Unique after dedupe</w:t>
            </w:r>
          </w:p>
        </w:tc>
        <w:tc>
          <w:tcPr>
            <w:tcW w:type="dxa" w:w="15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817</w:t>
            </w:r>
          </w:p>
        </w:tc>
        <w:tc>
          <w:tcPr>
            <w:tcW w:type="dxa" w:w="518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Same posting returned by several searches, and employers listing one job twice</w:t>
            </w:r>
          </w:p>
        </w:tc>
      </w:tr>
      <w:tr>
        <w:tc>
          <w:tcPr>
            <w:tcW w:type="dxa" w:w="34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Survive title and location</w:t>
            </w:r>
          </w:p>
        </w:tc>
        <w:tc>
          <w:tcPr>
            <w:tcW w:type="dxa" w:w="15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105</w:t>
            </w:r>
          </w:p>
        </w:tc>
        <w:tc>
          <w:tcPr>
            <w:tcW w:type="dxa" w:w="518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Read end to end, full posting text</w:t>
            </w:r>
          </w:p>
        </w:tc>
      </w:tr>
      <w:tr>
        <w:tc>
          <w:tcPr>
            <w:tcW w:type="dxa" w:w="34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Publish a band</w:t>
            </w:r>
          </w:p>
        </w:tc>
        <w:tc>
          <w:tcPr>
            <w:tcW w:type="dxa" w:w="15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55 of 105</w:t>
            </w:r>
          </w:p>
        </w:tc>
        <w:tc>
          <w:tcPr>
            <w:tcW w:type="dxa" w:w="518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The other 50 state no number anywhere</w:t>
            </w:r>
          </w:p>
        </w:tc>
      </w:tr>
      <w:tr>
        <w:tc>
          <w:tcPr>
            <w:tcW w:type="dxa" w:w="34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Top of band at or above $275k</w:t>
            </w:r>
          </w:p>
        </w:tc>
        <w:tc>
          <w:tcPr>
            <w:tcW w:type="dxa" w:w="15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40</w:t>
            </w:r>
          </w:p>
        </w:tc>
        <w:tc>
          <w:tcPr>
            <w:tcW w:type="dxa" w:w="518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Before reading a single requirement</w:t>
            </w:r>
          </w:p>
        </w:tc>
      </w:tr>
      <w:tr>
        <w:tc>
          <w:tcPr>
            <w:tcW w:type="dxa" w:w="34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Not hard-gated</w:t>
            </w:r>
          </w:p>
        </w:tc>
        <w:tc>
          <w:tcPr>
            <w:tcW w:type="dxa" w:w="15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34</w:t>
            </w:r>
          </w:p>
        </w:tc>
        <w:tc>
          <w:tcPr>
            <w:tcW w:type="dxa" w:w="518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After the automated gate, before I read them</w:t>
            </w:r>
          </w:p>
        </w:tc>
      </w:tr>
      <w:tr>
        <w:tc>
          <w:tcPr>
            <w:tcW w:type="dxa" w:w="34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Removed by your own rules</w:t>
            </w:r>
          </w:p>
        </w:tc>
        <w:tc>
          <w:tcPr>
            <w:tcW w:type="dxa" w:w="15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2</w:t>
            </w:r>
          </w:p>
        </w:tc>
        <w:tc>
          <w:tcPr>
            <w:tcW w:type="dxa" w:w="518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IDIQ, who said no. FanDuel, gambling.</w:t>
            </w:r>
          </w:p>
        </w:tc>
      </w:tr>
    </w:tbl>
    <w:p>
      <w:pPr>
        <w:pBdr>
          <w:bottom w:val="single" w:color="15171C"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1F4E63"/>
          <w:spacing w:val="30"/>
          <w:sz w:val="15"/>
          <w:szCs w:val="15"/>
        </w:rPr>
        <w:t xml:space="preserve">TIER ONE</w:t>
      </w:r>
    </w:p>
    <w:p>
      <w:pPr>
        <w:pStyle w:val="Heading1"/>
        <w:spacing w:after="160" w:before="0"/>
      </w:pPr>
      <w:r>
        <w:rPr>
          <w:rFonts w:ascii="Georgia" w:cs="Georgia" w:eastAsia="Georgia" w:hAnsi="Georgia"/>
          <w:b w:val="false"/>
          <w:bCs w:val="false"/>
          <w:i w:val="false"/>
          <w:iCs w:val="false"/>
          <w:caps w:val="false"/>
          <w:color w:val="15171C"/>
          <w:sz w:val="34"/>
          <w:szCs w:val="34"/>
        </w:rPr>
        <w:t xml:space="preserve">Worth your time this week</w:t>
      </w:r>
    </w:p>
    <w:p>
      <w:pPr>
        <w:pStyle w:val="Heading2"/>
        <w:pBdr>
          <w:left w:val="single" w:color="1D6144" w:sz="18" w:space="10"/>
        </w:pBdr>
        <w:spacing w:after="0" w:before="300"/>
        <w:ind w:left="120"/>
      </w:pPr>
      <w:r>
        <w:rPr>
          <w:rFonts w:ascii="Consolas" w:cs="Consolas" w:eastAsia="Consolas" w:hAnsi="Consolas"/>
          <w:b/>
          <w:bCs/>
          <w:i w:val="false"/>
          <w:iCs w:val="false"/>
          <w:caps w:val="false"/>
          <w:color w:val="1D6144"/>
          <w:sz w:val="26"/>
          <w:szCs w:val="26"/>
        </w:rPr>
        <w:t xml:space="preserve">1.  </w:t>
      </w:r>
      <w:r>
        <w:rPr>
          <w:rFonts w:ascii="Georgia" w:cs="Georgia" w:eastAsia="Georgia" w:hAnsi="Georgia"/>
          <w:b w:val="false"/>
          <w:bCs w:val="false"/>
          <w:i w:val="false"/>
          <w:iCs w:val="false"/>
          <w:caps w:val="false"/>
          <w:color w:val="15171C"/>
          <w:sz w:val="26"/>
          <w:szCs w:val="26"/>
        </w:rPr>
        <w:t xml:space="preserve">Chief Product Officer</w:t>
      </w:r>
    </w:p>
    <w:p>
      <w:pPr>
        <w:pBdr>
          <w:left w:val="single" w:color="1D6144" w:sz="18" w:space="10"/>
        </w:pBdr>
        <w:spacing w:after="40" w:before="40"/>
        <w:ind w:left="120"/>
      </w:pPr>
      <w:r>
        <w:rPr>
          <w:rFonts w:ascii="Consolas" w:cs="Consolas" w:eastAsia="Consolas" w:hAnsi="Consolas"/>
          <w:b w:val="false"/>
          <w:bCs w:val="false"/>
          <w:i w:val="false"/>
          <w:iCs w:val="false"/>
          <w:caps/>
          <w:color w:val="7F838D"/>
          <w:spacing w:val="18"/>
          <w:sz w:val="16"/>
          <w:szCs w:val="16"/>
        </w:rPr>
        <w:t xml:space="preserve">ASAPP</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bCs/>
          <w:i w:val="false"/>
          <w:iCs w:val="false"/>
          <w:caps w:val="false"/>
          <w:color w:val="15171C"/>
          <w:sz w:val="17"/>
          <w:szCs w:val="17"/>
        </w:rPr>
        <w:t xml:space="preserve">$350,000 - $400,000</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bCs/>
          <w:i w:val="false"/>
          <w:iCs w:val="false"/>
          <w:caps w:val="false"/>
          <w:color w:val="1D6144"/>
          <w:spacing w:val="24"/>
          <w:sz w:val="14"/>
          <w:szCs w:val="14"/>
        </w:rPr>
        <w:t xml:space="preserve">STRONGEST BAND</w:t>
      </w:r>
    </w:p>
    <w:p>
      <w:pPr>
        <w:pBdr>
          <w:left w:val="single" w:color="1D6144" w:sz="18" w:space="10"/>
        </w:pBdr>
        <w:spacing w:after="100" w:before="0"/>
        <w:ind w:left="120"/>
      </w:pPr>
      <w:r>
        <w:rPr>
          <w:rFonts w:ascii="Consolas" w:cs="Consolas" w:eastAsia="Consolas" w:hAnsi="Consolas"/>
          <w:b w:val="false"/>
          <w:bCs w:val="false"/>
          <w:i w:val="false"/>
          <w:iCs w:val="false"/>
          <w:caps w:val="false"/>
          <w:color w:val="7F838D"/>
          <w:sz w:val="14"/>
          <w:szCs w:val="14"/>
        </w:rPr>
        <w:t xml:space="preserve">New York   ·   first seen 29 Sep</w:t>
      </w:r>
    </w:p>
    <w:p>
      <w:pPr>
        <w:pBdr>
          <w:left w:val="single" w:color="1D6144" w:sz="18" w:space="10"/>
        </w:pBdr>
        <w:spacing w:after="100" w:before="60"/>
        <w:ind w:left="120"/>
      </w:pPr>
      <w:r>
        <w:rPr>
          <w:rFonts w:ascii="Consolas" w:cs="Consolas" w:eastAsia="Consolas" w:hAnsi="Consolas"/>
          <w:b w:val="false"/>
          <w:bCs w:val="false"/>
          <w:i w:val="false"/>
          <w:iCs w:val="false"/>
          <w:caps/>
          <w:color w:val="1D6144"/>
          <w:spacing w:val="24"/>
          <w:sz w:val="13"/>
          <w:szCs w:val="13"/>
        </w:rPr>
        <w:t xml:space="preserve">WHY  </w:t>
      </w:r>
      <w:r>
        <w:rPr>
          <w:rFonts w:ascii="Calibri" w:cs="Calibri" w:eastAsia="Calibri" w:hAnsi="Calibri"/>
          <w:b w:val="false"/>
          <w:bCs w:val="false"/>
          <w:i w:val="false"/>
          <w:iCs w:val="false"/>
          <w:caps w:val="false"/>
          <w:color w:val="4B4F59"/>
          <w:sz w:val="19"/>
          <w:szCs w:val="19"/>
        </w:rPr>
        <w:t xml:space="preserve">Highest floor in the entire sweep, and the only role here whose band starts above your floor rather than straddling it. The requirement is written in the language of your actual career rather than a domain you would have to learn.</w:t>
      </w:r>
    </w:p>
    <w:p>
      <w:pPr>
        <w:pBdr>
          <w:left w:val="single" w:color="1D6144" w:sz="18" w:space="10"/>
        </w:pBdr>
        <w:spacing w:after="100" w:before="0"/>
        <w:ind w:left="120"/>
      </w:pPr>
      <w:r>
        <w:rPr>
          <w:rFonts w:ascii="Consolas" w:cs="Consolas" w:eastAsia="Consolas" w:hAnsi="Consolas"/>
          <w:b w:val="false"/>
          <w:bCs w:val="false"/>
          <w:i w:val="false"/>
          <w:iCs w:val="false"/>
          <w:caps/>
          <w:color w:val="8C2F2F"/>
          <w:spacing w:val="24"/>
          <w:sz w:val="13"/>
          <w:szCs w:val="13"/>
        </w:rPr>
        <w:t xml:space="preserve">AGAINST  </w:t>
      </w:r>
      <w:r>
        <w:rPr>
          <w:rFonts w:ascii="Calibri" w:cs="Calibri" w:eastAsia="Calibri" w:hAnsi="Calibri"/>
          <w:b w:val="false"/>
          <w:bCs w:val="false"/>
          <w:i w:val="false"/>
          <w:iCs w:val="false"/>
          <w:caps w:val="false"/>
          <w:color w:val="4B4F59"/>
          <w:sz w:val="19"/>
          <w:szCs w:val="19"/>
        </w:rPr>
        <w:t xml:space="preserve">New York. The posting is thin on published requirements, which cuts both ways: less to disqualify you, and less to prepare against.</w:t>
      </w:r>
    </w:p>
    <w:p>
      <w:pPr>
        <w:spacing w:after="60" w:before="0"/>
        <w:ind w:left="320"/>
      </w:pPr>
      <w:r>
        <w:rPr>
          <w:rFonts w:ascii="Calibri" w:cs="Calibri" w:eastAsia="Calibri" w:hAnsi="Calibri"/>
          <w:b w:val="false"/>
          <w:bCs w:val="false"/>
          <w:i/>
          <w:iCs/>
          <w:caps w:val="false"/>
          <w:color w:val="7F838D"/>
          <w:sz w:val="18"/>
          <w:szCs w:val="18"/>
        </w:rPr>
        <w:t xml:space="preserve">“Enterprise product judgment: Experience in complex B2B environments with deep integrations, many stakeholders, demanding production requirements, and deployments that run for years.”</w:t>
      </w:r>
    </w:p>
    <w:p>
      <w:pPr>
        <w:pStyle w:val="Heading2"/>
        <w:pBdr>
          <w:left w:val="single" w:color="1D6144" w:sz="18" w:space="10"/>
        </w:pBdr>
        <w:spacing w:after="0" w:before="300"/>
        <w:ind w:left="120"/>
      </w:pPr>
      <w:r>
        <w:rPr>
          <w:rFonts w:ascii="Consolas" w:cs="Consolas" w:eastAsia="Consolas" w:hAnsi="Consolas"/>
          <w:b/>
          <w:bCs/>
          <w:i w:val="false"/>
          <w:iCs w:val="false"/>
          <w:caps w:val="false"/>
          <w:color w:val="1D6144"/>
          <w:sz w:val="26"/>
          <w:szCs w:val="26"/>
        </w:rPr>
        <w:t xml:space="preserve">2.  </w:t>
      </w:r>
      <w:r>
        <w:rPr>
          <w:rFonts w:ascii="Georgia" w:cs="Georgia" w:eastAsia="Georgia" w:hAnsi="Georgia"/>
          <w:b w:val="false"/>
          <w:bCs w:val="false"/>
          <w:i w:val="false"/>
          <w:iCs w:val="false"/>
          <w:caps w:val="false"/>
          <w:color w:val="15171C"/>
          <w:sz w:val="26"/>
          <w:szCs w:val="26"/>
        </w:rPr>
        <w:t xml:space="preserve">Chief Product Officer</w:t>
      </w:r>
    </w:p>
    <w:p>
      <w:pPr>
        <w:pBdr>
          <w:left w:val="single" w:color="1D6144" w:sz="18" w:space="10"/>
        </w:pBdr>
        <w:spacing w:after="40" w:before="40"/>
        <w:ind w:left="120"/>
      </w:pPr>
      <w:r>
        <w:rPr>
          <w:rFonts w:ascii="Consolas" w:cs="Consolas" w:eastAsia="Consolas" w:hAnsi="Consolas"/>
          <w:b w:val="false"/>
          <w:bCs w:val="false"/>
          <w:i w:val="false"/>
          <w:iCs w:val="false"/>
          <w:caps/>
          <w:color w:val="7F838D"/>
          <w:spacing w:val="18"/>
          <w:sz w:val="16"/>
          <w:szCs w:val="16"/>
        </w:rPr>
        <w:t xml:space="preserve">Monstro</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bCs/>
          <w:i w:val="false"/>
          <w:iCs w:val="false"/>
          <w:caps w:val="false"/>
          <w:color w:val="15171C"/>
          <w:sz w:val="17"/>
          <w:szCs w:val="17"/>
        </w:rPr>
        <w:t xml:space="preserve">$336,000 - $399,000</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bCs/>
          <w:i w:val="false"/>
          <w:iCs w:val="false"/>
          <w:caps w:val="false"/>
          <w:color w:val="1D6144"/>
          <w:spacing w:val="24"/>
          <w:sz w:val="14"/>
          <w:szCs w:val="14"/>
        </w:rPr>
        <w:t xml:space="preserve">CLOSEST FIT</w:t>
      </w:r>
    </w:p>
    <w:p>
      <w:pPr>
        <w:pBdr>
          <w:left w:val="single" w:color="1D6144" w:sz="18" w:space="10"/>
        </w:pBdr>
        <w:spacing w:after="100" w:before="0"/>
        <w:ind w:left="120"/>
      </w:pPr>
      <w:r>
        <w:rPr>
          <w:rFonts w:ascii="Consolas" w:cs="Consolas" w:eastAsia="Consolas" w:hAnsi="Consolas"/>
          <w:b w:val="false"/>
          <w:bCs w:val="false"/>
          <w:i w:val="false"/>
          <w:iCs w:val="false"/>
          <w:caps w:val="false"/>
          <w:color w:val="7F838D"/>
          <w:sz w:val="14"/>
          <w:szCs w:val="14"/>
        </w:rPr>
        <w:t xml:space="preserve">New York, NY   ·   first seen 29 Sep</w:t>
      </w:r>
    </w:p>
    <w:p>
      <w:pPr>
        <w:pBdr>
          <w:left w:val="single" w:color="1D6144" w:sz="18" w:space="10"/>
        </w:pBdr>
        <w:spacing w:after="100" w:before="60"/>
        <w:ind w:left="120"/>
      </w:pPr>
      <w:r>
        <w:rPr>
          <w:rFonts w:ascii="Consolas" w:cs="Consolas" w:eastAsia="Consolas" w:hAnsi="Consolas"/>
          <w:b w:val="false"/>
          <w:bCs w:val="false"/>
          <w:i w:val="false"/>
          <w:iCs w:val="false"/>
          <w:caps/>
          <w:color w:val="1D6144"/>
          <w:spacing w:val="24"/>
          <w:sz w:val="13"/>
          <w:szCs w:val="13"/>
        </w:rPr>
        <w:t xml:space="preserve">WHY  </w:t>
      </w:r>
      <w:r>
        <w:rPr>
          <w:rFonts w:ascii="Calibri" w:cs="Calibri" w:eastAsia="Calibri" w:hAnsi="Calibri"/>
          <w:b w:val="false"/>
          <w:bCs w:val="false"/>
          <w:i w:val="false"/>
          <w:iCs w:val="false"/>
          <w:caps w:val="false"/>
          <w:color w:val="4B4F59"/>
          <w:sz w:val="19"/>
          <w:szCs w:val="19"/>
        </w:rPr>
        <w:t xml:space="preserve">This is the posting that makes the case for the resume change. It wants CPO-level time in an early or growth stage company and hands-on AI practice, which is exactly the pair you have and exactly the pair most CPOs at this band do not.</w:t>
      </w:r>
    </w:p>
    <w:p>
      <w:pPr>
        <w:pBdr>
          <w:left w:val="single" w:color="1D6144" w:sz="18" w:space="10"/>
        </w:pBdr>
        <w:spacing w:after="100" w:before="0"/>
        <w:ind w:left="120"/>
      </w:pPr>
      <w:r>
        <w:rPr>
          <w:rFonts w:ascii="Consolas" w:cs="Consolas" w:eastAsia="Consolas" w:hAnsi="Consolas"/>
          <w:b w:val="false"/>
          <w:bCs w:val="false"/>
          <w:i w:val="false"/>
          <w:iCs w:val="false"/>
          <w:caps/>
          <w:color w:val="8C2F2F"/>
          <w:spacing w:val="24"/>
          <w:sz w:val="13"/>
          <w:szCs w:val="13"/>
        </w:rPr>
        <w:t xml:space="preserve">AGAINST  </w:t>
      </w:r>
      <w:r>
        <w:rPr>
          <w:rFonts w:ascii="Calibri" w:cs="Calibri" w:eastAsia="Calibri" w:hAnsi="Calibri"/>
          <w:b w:val="false"/>
          <w:bCs w:val="false"/>
          <w:i w:val="false"/>
          <w:iCs w:val="false"/>
          <w:caps w:val="false"/>
          <w:color w:val="4B4F59"/>
          <w:sz w:val="19"/>
          <w:szCs w:val="19"/>
        </w:rPr>
        <w:t xml:space="preserve">15+ years in product overall. You clear it, but the framing is product-native and your route was through technology leadership, so say the years plainly rather than letting them count backwards from titles.</w:t>
      </w:r>
    </w:p>
    <w:p>
      <w:pPr>
        <w:spacing w:after="60" w:before="0"/>
        <w:ind w:left="320"/>
      </w:pPr>
      <w:r>
        <w:rPr>
          <w:rFonts w:ascii="Calibri" w:cs="Calibri" w:eastAsia="Calibri" w:hAnsi="Calibri"/>
          <w:b w:val="false"/>
          <w:bCs w:val="false"/>
          <w:i/>
          <w:iCs/>
          <w:caps w:val="false"/>
          <w:color w:val="7F838D"/>
          <w:sz w:val="18"/>
          <w:szCs w:val="18"/>
        </w:rPr>
        <w:t xml:space="preserve">“15+ years in product overall, with meaningful time at the CPO or equivalent level in an early-stage or growth-stage environment”</w:t>
      </w:r>
    </w:p>
    <w:p>
      <w:pPr>
        <w:spacing w:after="60" w:before="0"/>
        <w:ind w:left="320"/>
      </w:pPr>
      <w:r>
        <w:rPr>
          <w:rFonts w:ascii="Calibri" w:cs="Calibri" w:eastAsia="Calibri" w:hAnsi="Calibri"/>
          <w:b w:val="false"/>
          <w:bCs w:val="false"/>
          <w:i/>
          <w:iCs/>
          <w:caps w:val="false"/>
          <w:color w:val="7F838D"/>
          <w:sz w:val="18"/>
          <w:szCs w:val="18"/>
        </w:rPr>
        <w:t xml:space="preserve">“AI-native mindset with hands-on experience across prototyping, requirements, user stories, and technical handoff”</w:t>
      </w:r>
    </w:p>
    <w:p>
      <w:pPr>
        <w:pStyle w:val="Heading2"/>
        <w:pBdr>
          <w:left w:val="single" w:color="8A6A16" w:sz="18" w:space="10"/>
        </w:pBdr>
        <w:spacing w:after="0" w:before="300"/>
        <w:ind w:left="120"/>
      </w:pPr>
      <w:r>
        <w:rPr>
          <w:rFonts w:ascii="Consolas" w:cs="Consolas" w:eastAsia="Consolas" w:hAnsi="Consolas"/>
          <w:b/>
          <w:bCs/>
          <w:i w:val="false"/>
          <w:iCs w:val="false"/>
          <w:caps w:val="false"/>
          <w:color w:val="8A6A16"/>
          <w:sz w:val="26"/>
          <w:szCs w:val="26"/>
        </w:rPr>
        <w:t xml:space="preserve">3.  </w:t>
      </w:r>
      <w:r>
        <w:rPr>
          <w:rFonts w:ascii="Georgia" w:cs="Georgia" w:eastAsia="Georgia" w:hAnsi="Georgia"/>
          <w:b w:val="false"/>
          <w:bCs w:val="false"/>
          <w:i w:val="false"/>
          <w:iCs w:val="false"/>
          <w:caps w:val="false"/>
          <w:color w:val="15171C"/>
          <w:sz w:val="26"/>
          <w:szCs w:val="26"/>
        </w:rPr>
        <w:t xml:space="preserve">Head of Product, Business Banking  /  Personal Banking</w:t>
      </w:r>
    </w:p>
    <w:p>
      <w:pPr>
        <w:pBdr>
          <w:left w:val="single" w:color="8A6A16" w:sz="18" w:space="10"/>
        </w:pBdr>
        <w:spacing w:after="40" w:before="40"/>
        <w:ind w:left="120"/>
      </w:pPr>
      <w:r>
        <w:rPr>
          <w:rFonts w:ascii="Consolas" w:cs="Consolas" w:eastAsia="Consolas" w:hAnsi="Consolas"/>
          <w:b w:val="false"/>
          <w:bCs w:val="false"/>
          <w:i w:val="false"/>
          <w:iCs w:val="false"/>
          <w:caps/>
          <w:color w:val="7F838D"/>
          <w:spacing w:val="18"/>
          <w:sz w:val="16"/>
          <w:szCs w:val="16"/>
        </w:rPr>
        <w:t xml:space="preserve">Mercury</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bCs/>
          <w:i w:val="false"/>
          <w:iCs w:val="false"/>
          <w:caps w:val="false"/>
          <w:color w:val="15171C"/>
          <w:sz w:val="17"/>
          <w:szCs w:val="17"/>
        </w:rPr>
        <w:t xml:space="preserve">$273,800 - $362,100</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bCs/>
          <w:i w:val="false"/>
          <w:iCs w:val="false"/>
          <w:caps w:val="false"/>
          <w:color w:val="8A6A16"/>
          <w:spacing w:val="24"/>
          <w:sz w:val="14"/>
          <w:szCs w:val="14"/>
        </w:rPr>
        <w:t xml:space="preserve">READ THE BAND CAREFULLY</w:t>
      </w:r>
    </w:p>
    <w:p>
      <w:pPr>
        <w:pBdr>
          <w:left w:val="single" w:color="8A6A16" w:sz="18" w:space="10"/>
        </w:pBdr>
        <w:spacing w:after="100" w:before="0"/>
        <w:ind w:left="120"/>
      </w:pPr>
      <w:r>
        <w:rPr>
          <w:rFonts w:ascii="Consolas" w:cs="Consolas" w:eastAsia="Consolas" w:hAnsi="Consolas"/>
          <w:b w:val="false"/>
          <w:bCs w:val="false"/>
          <w:i w:val="false"/>
          <w:iCs w:val="false"/>
          <w:caps w:val="false"/>
          <w:color w:val="7F838D"/>
          <w:sz w:val="14"/>
          <w:szCs w:val="14"/>
        </w:rPr>
        <w:t xml:space="preserve">New York, NY   ·   two roles, same band</w:t>
      </w:r>
    </w:p>
    <w:p>
      <w:pPr>
        <w:pBdr>
          <w:left w:val="single" w:color="8A6A16" w:sz="18" w:space="10"/>
        </w:pBdr>
        <w:spacing w:after="100" w:before="60"/>
        <w:ind w:left="120"/>
      </w:pPr>
      <w:r>
        <w:rPr>
          <w:rFonts w:ascii="Consolas" w:cs="Consolas" w:eastAsia="Consolas" w:hAnsi="Consolas"/>
          <w:b w:val="false"/>
          <w:bCs w:val="false"/>
          <w:i w:val="false"/>
          <w:iCs w:val="false"/>
          <w:caps/>
          <w:color w:val="1D6144"/>
          <w:spacing w:val="24"/>
          <w:sz w:val="13"/>
          <w:szCs w:val="13"/>
        </w:rPr>
        <w:t xml:space="preserve">WHY  </w:t>
      </w:r>
      <w:r>
        <w:rPr>
          <w:rFonts w:ascii="Calibri" w:cs="Calibri" w:eastAsia="Calibri" w:hAnsi="Calibri"/>
          <w:b w:val="false"/>
          <w:bCs w:val="false"/>
          <w:i w:val="false"/>
          <w:iCs w:val="false"/>
          <w:caps w:val="false"/>
          <w:color w:val="4B4F59"/>
          <w:sz w:val="19"/>
          <w:szCs w:val="19"/>
        </w:rPr>
        <w:t xml:space="preserve">Two separate roles at the same band, which means two shots at one employer and a signal they are building out a product org rather than backfilling.</w:t>
      </w:r>
    </w:p>
    <w:p>
      <w:pPr>
        <w:pBdr>
          <w:left w:val="single" w:color="8A6A16" w:sz="18" w:space="10"/>
        </w:pBdr>
        <w:spacing w:after="100" w:before="0"/>
        <w:ind w:left="120"/>
      </w:pPr>
      <w:r>
        <w:rPr>
          <w:rFonts w:ascii="Consolas" w:cs="Consolas" w:eastAsia="Consolas" w:hAnsi="Consolas"/>
          <w:b w:val="false"/>
          <w:bCs w:val="false"/>
          <w:i w:val="false"/>
          <w:iCs w:val="false"/>
          <w:caps/>
          <w:color w:val="8C2F2F"/>
          <w:spacing w:val="24"/>
          <w:sz w:val="13"/>
          <w:szCs w:val="13"/>
        </w:rPr>
        <w:t xml:space="preserve">AGAINST  </w:t>
      </w:r>
      <w:r>
        <w:rPr>
          <w:rFonts w:ascii="Calibri" w:cs="Calibri" w:eastAsia="Calibri" w:hAnsi="Calibri"/>
          <w:b w:val="false"/>
          <w:bCs w:val="false"/>
          <w:i w:val="false"/>
          <w:iCs w:val="false"/>
          <w:caps w:val="false"/>
          <w:color w:val="4B4F59"/>
          <w:sz w:val="19"/>
          <w:szCs w:val="19"/>
        </w:rPr>
        <w:t xml:space="preserve">The bottom of the band is $273,800, which is $1,200 under your floor. Only the top of their range clears it. That is a negotiation you should enter knowing the number rather than discovering it at offer.</w:t>
      </w:r>
    </w:p>
    <w:p>
      <w:pPr>
        <w:pBdr>
          <w:bottom w:val="single" w:color="15171C"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1F4E63"/>
          <w:spacing w:val="30"/>
          <w:sz w:val="15"/>
          <w:szCs w:val="15"/>
        </w:rPr>
        <w:t xml:space="preserve">TIER TWO</w:t>
      </w:r>
    </w:p>
    <w:p>
      <w:pPr>
        <w:pStyle w:val="Heading1"/>
        <w:spacing w:after="160" w:before="0"/>
      </w:pPr>
      <w:r>
        <w:rPr>
          <w:rFonts w:ascii="Georgia" w:cs="Georgia" w:eastAsia="Georgia" w:hAnsi="Georgia"/>
          <w:b w:val="false"/>
          <w:bCs w:val="false"/>
          <w:i w:val="false"/>
          <w:iCs w:val="false"/>
          <w:caps w:val="false"/>
          <w:color w:val="15171C"/>
          <w:sz w:val="34"/>
          <w:szCs w:val="34"/>
        </w:rPr>
        <w:t xml:space="preserve">Worth a look, with the caveat named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00"/>
        <w:gridCol w:w="2000"/>
        <w:gridCol w:w="4780"/>
      </w:tblGrid>
      <w:tr>
        <w:trPr>
          <w:tblHeader/>
        </w:trPr>
        <w:tc>
          <w:tcPr>
            <w:tcW w:type="dxa" w:w="3300"/>
            <w:tcBorders>
              <w:top w:val="single" w:color="1F4E63" w:sz="4"/>
              <w:left w:val="single" w:color="1F4E63" w:sz="4"/>
              <w:bottom w:val="single" w:color="1F4E63" w:sz="4"/>
              <w:right w:val="single" w:color="1F4E63" w:sz="4"/>
            </w:tcBorders>
            <w:shd w:fill="1F4E63"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Role</w:t>
            </w:r>
          </w:p>
        </w:tc>
        <w:tc>
          <w:tcPr>
            <w:tcW w:type="dxa" w:w="2000"/>
            <w:tcBorders>
              <w:top w:val="single" w:color="1F4E63" w:sz="4"/>
              <w:left w:val="single" w:color="1F4E63" w:sz="4"/>
              <w:bottom w:val="single" w:color="1F4E63" w:sz="4"/>
              <w:right w:val="single" w:color="1F4E63" w:sz="4"/>
            </w:tcBorders>
            <w:shd w:fill="1F4E63"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Band</w:t>
            </w:r>
          </w:p>
        </w:tc>
        <w:tc>
          <w:tcPr>
            <w:tcW w:type="dxa" w:w="4780"/>
            <w:tcBorders>
              <w:top w:val="single" w:color="1F4E63" w:sz="4"/>
              <w:left w:val="single" w:color="1F4E63" w:sz="4"/>
              <w:bottom w:val="single" w:color="1F4E63" w:sz="4"/>
              <w:right w:val="single" w:color="1F4E63" w:sz="4"/>
            </w:tcBorders>
            <w:shd w:fill="1F4E63"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The caveat</w:t>
            </w:r>
          </w:p>
        </w:tc>
      </w:tr>
      <w:tr>
        <w:tc>
          <w:tcPr>
            <w:tcW w:type="dxa" w:w="33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SVP, Product Management, Sprinklr</w:t>
            </w:r>
          </w:p>
        </w:tc>
        <w:tc>
          <w:tcPr>
            <w:tcW w:type="dxa" w:w="20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$285,000 - $475,000</w:t>
            </w:r>
          </w:p>
        </w:tc>
        <w:tc>
          <w:tcPr>
            <w:tcW w:type="dxa" w:w="478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Widest band in the sweep and the ceiling is not for you. Requires 15+ years with 10+ in leadership, plus “deep expertise in customer service / CX platforms (CCaaS preferred)”. The domain gate is real.</w:t>
            </w:r>
          </w:p>
        </w:tc>
      </w:tr>
      <w:tr>
        <w:tc>
          <w:tcPr>
            <w:tcW w:type="dxa" w:w="33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SVP, Product Experience, Horizon Media</w:t>
            </w:r>
          </w:p>
        </w:tc>
        <w:tc>
          <w:tcPr>
            <w:tcW w:type="dxa" w:w="20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$250,000 - $350,000</w:t>
            </w:r>
          </w:p>
        </w:tc>
        <w:tc>
          <w:tcPr>
            <w:tcW w:type="dxa" w:w="478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Band straddles your floor. Media agency rather than product company, which is a different operating model from anything on your resume.</w:t>
            </w:r>
          </w:p>
        </w:tc>
      </w:tr>
      <w:tr>
        <w:tc>
          <w:tcPr>
            <w:tcW w:type="dxa" w:w="33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Chief Product Officer, Wysh</w:t>
            </w:r>
          </w:p>
        </w:tc>
        <w:tc>
          <w:tcPr>
            <w:tcW w:type="dxa" w:w="20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$250,000 - $300,000</w:t>
            </w:r>
          </w:p>
        </w:tc>
        <w:tc>
          <w:tcPr>
            <w:tcW w:type="dxa" w:w="478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Clears at the top only. Small company, so the CPO title carries less org than the band suggests. Worth a conversation, not a campaign.</w:t>
            </w:r>
          </w:p>
        </w:tc>
      </w:tr>
      <w:tr>
        <w:tc>
          <w:tcPr>
            <w:tcW w:type="dxa" w:w="33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SVP, Email Product Area, Sinch</w:t>
            </w:r>
          </w:p>
        </w:tc>
        <w:tc>
          <w:tcPr>
            <w:tcW w:type="dxa" w:w="20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$252,800 - $316,000</w:t>
            </w:r>
          </w:p>
        </w:tc>
        <w:tc>
          <w:tcPr>
            <w:tcW w:type="dxa" w:w="478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12+ years stated. Narrow product surface for an SVP seat. You looked at Sinch in the 22 September sweep and it was the recommendation then.</w:t>
            </w:r>
          </w:p>
        </w:tc>
      </w:tr>
    </w:tbl>
    <w:p>
      <w:pPr>
        <w:pBdr>
          <w:bottom w:val="single" w:color="15171C"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1F4E63"/>
          <w:spacing w:val="30"/>
          <w:sz w:val="15"/>
          <w:szCs w:val="15"/>
        </w:rPr>
        <w:t xml:space="preserve">RULE-OUTS</w:t>
      </w:r>
    </w:p>
    <w:p>
      <w:pPr>
        <w:pStyle w:val="Heading1"/>
        <w:spacing w:after="160" w:before="0"/>
      </w:pPr>
      <w:r>
        <w:rPr>
          <w:rFonts w:ascii="Georgia" w:cs="Georgia" w:eastAsia="Georgia" w:hAnsi="Georgia"/>
          <w:b w:val="false"/>
          <w:bCs w:val="false"/>
          <w:i w:val="false"/>
          <w:iCs w:val="false"/>
          <w:caps w:val="false"/>
          <w:color w:val="15171C"/>
          <w:sz w:val="34"/>
          <w:szCs w:val="34"/>
        </w:rPr>
        <w:t xml:space="preserve">Removed by your own rules</w:t>
      </w:r>
    </w:p>
    <w:p>
      <w:pPr>
        <w:spacing w:after="120" w:before="0" w:line="300"/>
      </w:pPr>
      <w:r>
        <w:rPr>
          <w:rFonts w:ascii="Calibri" w:cs="Calibri" w:eastAsia="Calibri" w:hAnsi="Calibri"/>
          <w:b w:val="false"/>
          <w:bCs w:val="false"/>
          <w:i w:val="false"/>
          <w:iCs w:val="false"/>
          <w:caps w:val="false"/>
          <w:color w:val="4B4F59"/>
          <w:sz w:val="20"/>
          <w:szCs w:val="20"/>
        </w:rPr>
        <w:t xml:space="preserve">Both of these would have ranked in your top five on band and fit. They are listed rather than silently dropped, because a filter you cannot see is a filter you cannot correct.</w:t>
      </w:r>
    </w:p>
    <w:p>
      <w:pPr>
        <w:pBdr>
          <w:left w:val="single" w:color="8C2F2F" w:sz="18" w:space="10"/>
        </w:pBdr>
        <w:spacing w:after="0" w:before="240"/>
        <w:ind w:left="120"/>
      </w:pPr>
      <w:r>
        <w:rPr>
          <w:rFonts w:ascii="Calibri" w:cs="Calibri" w:eastAsia="Calibri" w:hAnsi="Calibri"/>
          <w:b/>
          <w:bCs/>
          <w:i w:val="false"/>
          <w:iCs w:val="false"/>
          <w:caps w:val="false"/>
          <w:color w:val="15171C"/>
          <w:sz w:val="21"/>
          <w:szCs w:val="21"/>
        </w:rPr>
        <w:t xml:space="preserve">Chief Product Officer</w:t>
      </w:r>
      <w:r>
        <w:rPr>
          <w:rFonts w:ascii="Consolas" w:cs="Consolas" w:eastAsia="Consolas" w:hAnsi="Consolas"/>
          <w:b w:val="false"/>
          <w:bCs w:val="false"/>
          <w:i w:val="false"/>
          <w:iCs w:val="false"/>
          <w:caps/>
          <w:color w:val="7F838D"/>
          <w:spacing w:val="18"/>
          <w:sz w:val="15"/>
          <w:szCs w:val="15"/>
        </w:rPr>
        <w:t xml:space="preserve">     IDIQ</w:t>
      </w:r>
      <w:r>
        <w:rPr>
          <w:rFonts w:ascii="Consolas" w:cs="Consolas" w:eastAsia="Consolas" w:hAnsi="Consolas"/>
          <w:b w:val="false"/>
          <w:bCs w:val="false"/>
          <w:i w:val="false"/>
          <w:iCs w:val="false"/>
          <w:caps w:val="false"/>
          <w:color w:val="7F838D"/>
          <w:sz w:val="15"/>
          <w:szCs w:val="15"/>
        </w:rPr>
        <w:t xml:space="preserve">     $285,000 - $325,000</w:t>
      </w:r>
    </w:p>
    <w:p>
      <w:pPr>
        <w:pBdr>
          <w:left w:val="single" w:color="8C2F2F" w:sz="18" w:space="10"/>
        </w:pBdr>
        <w:spacing w:after="80" w:before="60"/>
        <w:ind w:left="120"/>
      </w:pPr>
      <w:r>
        <w:rPr>
          <w:rFonts w:ascii="Consolas" w:cs="Consolas" w:eastAsia="Consolas" w:hAnsi="Consolas"/>
          <w:b w:val="false"/>
          <w:bCs w:val="false"/>
          <w:i w:val="false"/>
          <w:iCs w:val="false"/>
          <w:caps/>
          <w:color w:val="8C2F2F"/>
          <w:spacing w:val="24"/>
          <w:sz w:val="13"/>
          <w:szCs w:val="13"/>
        </w:rPr>
        <w:t xml:space="preserve">RULED OUT  </w:t>
      </w:r>
      <w:r>
        <w:rPr>
          <w:rFonts w:ascii="Calibri" w:cs="Calibri" w:eastAsia="Calibri" w:hAnsi="Calibri"/>
          <w:b w:val="false"/>
          <w:bCs w:val="false"/>
          <w:i w:val="false"/>
          <w:iCs w:val="false"/>
          <w:caps w:val="false"/>
          <w:color w:val="4B4F59"/>
          <w:sz w:val="19"/>
          <w:szCs w:val="19"/>
        </w:rPr>
        <w:t xml:space="preserve">They turned you down on 29 September. Now in your company_block, so it will not surface again.</w:t>
      </w:r>
    </w:p>
    <w:p>
      <w:pPr>
        <w:pBdr>
          <w:left w:val="single" w:color="8C2F2F" w:sz="18" w:space="10"/>
        </w:pBdr>
        <w:spacing w:after="0" w:before="240"/>
        <w:ind w:left="120"/>
      </w:pPr>
      <w:r>
        <w:rPr>
          <w:rFonts w:ascii="Calibri" w:cs="Calibri" w:eastAsia="Calibri" w:hAnsi="Calibri"/>
          <w:b/>
          <w:bCs/>
          <w:i w:val="false"/>
          <w:iCs w:val="false"/>
          <w:caps w:val="false"/>
          <w:color w:val="15171C"/>
          <w:sz w:val="21"/>
          <w:szCs w:val="21"/>
        </w:rPr>
        <w:t xml:space="preserve">SVP, Product, Core Customer Experiences</w:t>
      </w:r>
      <w:r>
        <w:rPr>
          <w:rFonts w:ascii="Consolas" w:cs="Consolas" w:eastAsia="Consolas" w:hAnsi="Consolas"/>
          <w:b w:val="false"/>
          <w:bCs w:val="false"/>
          <w:i w:val="false"/>
          <w:iCs w:val="false"/>
          <w:caps/>
          <w:color w:val="7F838D"/>
          <w:spacing w:val="18"/>
          <w:sz w:val="15"/>
          <w:szCs w:val="15"/>
        </w:rPr>
        <w:t xml:space="preserve">     FanDuel</w:t>
      </w:r>
      <w:r>
        <w:rPr>
          <w:rFonts w:ascii="Consolas" w:cs="Consolas" w:eastAsia="Consolas" w:hAnsi="Consolas"/>
          <w:b w:val="false"/>
          <w:bCs w:val="false"/>
          <w:i w:val="false"/>
          <w:iCs w:val="false"/>
          <w:caps w:val="false"/>
          <w:color w:val="7F838D"/>
          <w:sz w:val="15"/>
          <w:szCs w:val="15"/>
        </w:rPr>
        <w:t xml:space="preserve">     $287,000 - $402,000</w:t>
      </w:r>
    </w:p>
    <w:p>
      <w:pPr>
        <w:pBdr>
          <w:left w:val="single" w:color="8C2F2F" w:sz="18" w:space="10"/>
        </w:pBdr>
        <w:spacing w:after="80" w:before="60"/>
        <w:ind w:left="120"/>
      </w:pPr>
      <w:r>
        <w:rPr>
          <w:rFonts w:ascii="Consolas" w:cs="Consolas" w:eastAsia="Consolas" w:hAnsi="Consolas"/>
          <w:b w:val="false"/>
          <w:bCs w:val="false"/>
          <w:i w:val="false"/>
          <w:iCs w:val="false"/>
          <w:caps/>
          <w:color w:val="8C2F2F"/>
          <w:spacing w:val="24"/>
          <w:sz w:val="13"/>
          <w:szCs w:val="13"/>
        </w:rPr>
        <w:t xml:space="preserve">RULED OUT  </w:t>
      </w:r>
      <w:r>
        <w:rPr>
          <w:rFonts w:ascii="Calibri" w:cs="Calibri" w:eastAsia="Calibri" w:hAnsi="Calibri"/>
          <w:b w:val="false"/>
          <w:bCs w:val="false"/>
          <w:i w:val="false"/>
          <w:iCs w:val="false"/>
          <w:caps w:val="false"/>
          <w:color w:val="4B4F59"/>
          <w:sz w:val="19"/>
          <w:szCs w:val="19"/>
        </w:rPr>
        <w:t xml:space="preserve">Gambling. Nothing in the name says so, which is why the rule matches the posting text rather than the employer name.</w:t>
      </w:r>
    </w:p>
    <w:p>
      <w:pPr>
        <w:spacing w:after="60" w:before="0"/>
        <w:ind w:left="320"/>
      </w:pPr>
      <w:r>
        <w:rPr>
          <w:rFonts w:ascii="Calibri" w:cs="Calibri" w:eastAsia="Calibri" w:hAnsi="Calibri"/>
          <w:b w:val="false"/>
          <w:bCs w:val="false"/>
          <w:i/>
          <w:iCs/>
          <w:caps w:val="false"/>
          <w:color w:val="7F838D"/>
          <w:sz w:val="18"/>
          <w:szCs w:val="18"/>
        </w:rPr>
        <w:t xml:space="preserve">“Champion Responsible Gaming as a product discipline, embedding tools and safeguards (deposit limits, self-exclusion, cool-off periods, affordability checks) directly into core flows.”</w:t>
      </w:r>
    </w:p>
    <w:p>
      <w:pPr>
        <w:pBdr>
          <w:bottom w:val="single" w:color="15171C"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1F4E63"/>
          <w:spacing w:val="30"/>
          <w:sz w:val="15"/>
          <w:szCs w:val="15"/>
        </w:rPr>
        <w:t xml:space="preserve">THE CALL</w:t>
      </w:r>
    </w:p>
    <w:p>
      <w:pPr>
        <w:pStyle w:val="Heading1"/>
        <w:spacing w:after="160" w:before="0"/>
      </w:pPr>
      <w:r>
        <w:rPr>
          <w:rFonts w:ascii="Georgia" w:cs="Georgia" w:eastAsia="Georgia" w:hAnsi="Georgia"/>
          <w:b w:val="false"/>
          <w:bCs w:val="false"/>
          <w:i w:val="false"/>
          <w:iCs w:val="false"/>
          <w:caps w:val="false"/>
          <w:color w:val="15171C"/>
          <w:sz w:val="34"/>
          <w:szCs w:val="34"/>
        </w:rPr>
        <w:t xml:space="preserve">What I would actually do with this</w:t>
      </w:r>
    </w:p>
    <w:p>
      <w:pPr>
        <w:spacing w:after="120" w:before="0" w:line="300"/>
      </w:pPr>
      <w:r>
        <w:rPr>
          <w:rFonts w:ascii="Calibri" w:cs="Calibri" w:eastAsia="Calibri" w:hAnsi="Calibri"/>
          <w:b w:val="false"/>
          <w:bCs w:val="false"/>
          <w:i w:val="false"/>
          <w:iCs w:val="false"/>
          <w:caps w:val="false"/>
          <w:color w:val="4B4F59"/>
          <w:sz w:val="20"/>
          <w:szCs w:val="20"/>
        </w:rPr>
        <w:t xml:space="preserve">ASAPP and Monstro this week, in that order. ASAPP because it is the only band in the document that starts above your floor instead of straddling it. Monstro because its requirements block reads like it was written after seeing your last eighteen months, and roles that specific do not stay open.</w:t>
      </w:r>
    </w:p>
    <w:p>
      <w:pPr>
        <w:spacing w:after="120" w:before="0" w:line="300"/>
      </w:pPr>
      <w:r>
        <w:rPr>
          <w:rFonts w:ascii="Calibri" w:cs="Calibri" w:eastAsia="Calibri" w:hAnsi="Calibri"/>
          <w:b w:val="false"/>
          <w:bCs w:val="false"/>
          <w:i w:val="false"/>
          <w:iCs w:val="false"/>
          <w:caps w:val="false"/>
          <w:color w:val="4B4F59"/>
          <w:sz w:val="20"/>
          <w:szCs w:val="20"/>
        </w:rPr>
        <w:t xml:space="preserve">Mercury as a pair, one application each, knowing that $273,800 is under your floor and the conversation has to reach the top of their range to work.</w:t>
      </w:r>
    </w:p>
    <w:p>
      <w:pPr>
        <w:spacing w:after="60" w:before="0" w:line="300"/>
      </w:pPr>
      <w:r>
        <w:rPr>
          <w:rFonts w:ascii="Calibri" w:cs="Calibri" w:eastAsia="Calibri" w:hAnsi="Calibri"/>
          <w:b w:val="false"/>
          <w:bCs w:val="false"/>
          <w:i w:val="false"/>
          <w:iCs w:val="false"/>
          <w:caps w:val="false"/>
          <w:color w:val="4B4F59"/>
          <w:sz w:val="20"/>
          <w:szCs w:val="20"/>
        </w:rPr>
        <w:t xml:space="preserve">Say the AI work second, not last. A quarter of the roles clearing your floor ask for it in writing and two of your top three name it explicitly. You have been treating it as the thing to explain. It is the thing to lead with.</w:t>
      </w:r>
    </w:p>
    <w:sectPr>
      <w:pgSz w:w="12240" w:h="15840" w:orient="portrait"/>
      <w:pgMar w:top="1080" w:right="1080" w:bottom="1080" w:left="1080" w:header="640" w:footer="64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20" w:hanging="300"/>
      </w:pPr>
      <w:rPr>
        <w:rFonts w:ascii="Consolas" w:cs="Consolas" w:eastAsia="Consolas" w:hAnsi="Consolas"/>
        <w:b/>
        <w:bCs/>
        <w:color w:val="1F4E63"/>
        <w:sz w:val="19"/>
        <w:szCs w:val="19"/>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4B4F59"/>
        <w:sz w:val="20"/>
        <w:szCs w:val="20"/>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Georgia" w:cs="Georgia" w:eastAsia="Georgia" w:hAnsi="Georgia"/>
      <w:b w:val="false"/>
      <w:bCs w:val="false"/>
      <w:color w:val="15171C"/>
      <w:sz w:val="34"/>
      <w:szCs w:val="34"/>
    </w:rPr>
  </w:style>
  <w:style w:type="paragraph" w:styleId="Heading2">
    <w:name w:val="Heading 2"/>
    <w:basedOn w:val="Normal"/>
    <w:next w:val="Normal"/>
    <w:qFormat/>
    <w:rPr>
      <w:rFonts w:ascii="Georgia" w:cs="Georgia" w:eastAsia="Georgia" w:hAnsi="Georgia"/>
      <w:b w:val="false"/>
      <w:bCs w:val="false"/>
      <w:color w:val="15171C"/>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2026-09-29T20:53:24.041Z</dcterms:created>
  <dcterms:modified xsi:type="dcterms:W3CDTF">2026-09-29T20:53:24.056Z</dcterms:modified>
</cp:coreProperties>
</file>

<file path=docProps/custom.xml><?xml version="1.0" encoding="utf-8"?>
<Properties xmlns="http://schemas.openxmlformats.org/officeDocument/2006/custom-properties" xmlns:vt="http://schemas.openxmlformats.org/officeDocument/2006/docPropsVTypes"/>
</file>