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i w:val="false"/>
          <w:iCs w:val="false"/>
          <w:caps/>
          <w:color w:val="2E5E4E"/>
          <w:spacing w:val="26"/>
          <w:sz w:val="14"/>
          <w:szCs w:val="14"/>
        </w:rPr>
        <w:t xml:space="preserve">RESUME PUNCH LIST, ROUND TWO   /   WALTON_2026_RESUME_MASTER.DOCX   /   10 SEPTEMBER 2026</w:t>
      </w:r>
    </w:p>
    <w:p>
      <w:pPr>
        <w:pStyle w:val="Heading1"/>
        <w:spacing w:after="160" w:before="60"/>
      </w:pPr>
      <w:r>
        <w:rPr>
          <w:rFonts w:ascii="Georgia" w:cs="Georgia" w:eastAsia="Georgia" w:hAnsi="Georgia"/>
          <w:b w:val="false"/>
          <w:bCs w:val="false"/>
          <w:i w:val="false"/>
          <w:iCs w:val="false"/>
          <w:caps w:val="false"/>
          <w:color w:val="1C1D22"/>
          <w:sz w:val="46"/>
          <w:szCs w:val="46"/>
        </w:rPr>
        <w:t xml:space="preserve">The months revealed a gap</w:t>
      </w:r>
    </w:p>
    <w:p>
      <w:pPr>
        <w:spacing w:after="200" w:before="0" w:line="300"/>
      </w:pPr>
      <w:r>
        <w:rPr>
          <w:rFonts w:ascii="Calibri" w:cs="Calibri" w:eastAsia="Calibri" w:hAnsi="Calibri"/>
          <w:b w:val="false"/>
          <w:bCs w:val="false"/>
          <w:i w:val="false"/>
          <w:iCs w:val="false"/>
          <w:caps w:val="false"/>
          <w:color w:val="4A4C55"/>
          <w:sz w:val="20"/>
          <w:szCs w:val="20"/>
        </w:rPr>
        <w:t xml:space="preserve">Jeff, six of the eight items from the last round are closed, including the one that was blocking. The placeholders are gone, the denominator is now a real number, and the dates carry months. That last change is the reason this round exists: adding months exposed a nine month gap between Malwarebytes and CyReaux, and the summary line above it says the five years were continuous. That contradiction is now the blocking item, and it is the same category of problem as the original 15+ years claim, which is a statement in the summary that the body of the resume disproves.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Closed this round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6 of 8</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Still open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2</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New, blocking</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1 item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Needs an answer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B03828"/>
                <w:sz w:val="17"/>
                <w:szCs w:val="17"/>
              </w:rPr>
              <w:t xml:space="preserve">The 2025 gap</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Length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628 words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5878F"/>
                <w:spacing w:val="24"/>
                <w:sz w:val="13"/>
                <w:szCs w:val="13"/>
              </w:rPr>
              <w:t xml:space="preserve">Placeholders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E5E4E"/>
                <w:sz w:val="17"/>
                <w:szCs w:val="17"/>
              </w:rPr>
              <w:t xml:space="preserve">None remaining</w:t>
            </w:r>
          </w:p>
        </w:tc>
      </w:tr>
    </w:tbl>
    <w:p>
      <w:pPr>
        <w:pBdr>
          <w:left w:val="single" w:color="DCDCD9" w:sz="10" w:space="14"/>
        </w:pBdr>
        <w:spacing w:after="160" w:before="200"/>
        <w:ind w:left="180"/>
      </w:pPr>
      <w:r>
        <w:rPr>
          <w:rFonts w:ascii="Calibri" w:cs="Calibri" w:eastAsia="Calibri" w:hAnsi="Calibri"/>
          <w:b w:val="false"/>
          <w:bCs w:val="false"/>
          <w:i/>
          <w:iCs/>
          <w:caps w:val="false"/>
          <w:color w:val="85878F"/>
          <w:sz w:val="18"/>
          <w:szCs w:val="18"/>
        </w:rPr>
        <w:t xml:space="preserve">Do not solve this by taking the months back off. Months were the right call. The fix is to make the summary line agree with the dates, and to have a one sentence answer ready for the gap itself.</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1  /  Blocking</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Fix before sending</w:t>
      </w:r>
    </w:p>
    <w:p>
      <w:pPr>
        <w:pStyle w:val="Heading2"/>
        <w:pBdr>
          <w:left w:val="single" w:color="B03828" w:sz="18" w:space="10"/>
        </w:pBdr>
        <w:spacing w:after="60" w:before="300"/>
        <w:ind w:left="120"/>
      </w:pPr>
      <w:r>
        <w:rPr>
          <w:rFonts w:ascii="Consolas" w:cs="Consolas" w:eastAsia="Consolas" w:hAnsi="Consolas"/>
          <w:b/>
          <w:bCs/>
          <w:i w:val="false"/>
          <w:iCs w:val="false"/>
          <w:caps w:val="false"/>
          <w:color w:val="B03828"/>
          <w:sz w:val="24"/>
          <w:szCs w:val="24"/>
        </w:rPr>
        <w:t xml:space="preserve">1.  </w:t>
      </w:r>
      <w:r>
        <w:rPr>
          <w:rFonts w:ascii="Georgia" w:cs="Georgia" w:eastAsia="Georgia" w:hAnsi="Georgia"/>
          <w:b w:val="false"/>
          <w:bCs w:val="false"/>
          <w:i w:val="false"/>
          <w:iCs w:val="false"/>
          <w:caps w:val="false"/>
          <w:color w:val="1C1D22"/>
          <w:sz w:val="24"/>
          <w:szCs w:val="24"/>
        </w:rPr>
        <w:t xml:space="preserve">The summary says continuous. The dates say otherwise.</w:t>
      </w:r>
    </w:p>
    <w:p>
      <w:pPr>
        <w:pBdr>
          <w:left w:val="single" w:color="B03828" w:sz="18" w:space="10"/>
        </w:pBdr>
        <w:spacing w:after="140"/>
        <w:ind w:left="120"/>
      </w:pPr>
      <w:r>
        <w:rPr>
          <w:rFonts w:ascii="Consolas" w:cs="Consolas" w:eastAsia="Consolas" w:hAnsi="Consolas"/>
          <w:b/>
          <w:bCs/>
          <w:i w:val="false"/>
          <w:iCs w:val="false"/>
          <w:caps w:val="false"/>
          <w:color w:val="B03828"/>
          <w:spacing w:val="26"/>
          <w:sz w:val="13"/>
          <w:szCs w:val="13"/>
        </w:rPr>
        <w:t xml:space="preserve">BLOCKING</w:t>
      </w:r>
    </w:p>
    <w:p>
      <w:pPr>
        <w:spacing w:after="40"/>
      </w:pPr>
      <w:r>
        <w:rPr>
          <w:rFonts w:ascii="Consolas" w:cs="Consolas" w:eastAsia="Consolas" w:hAnsi="Consolas"/>
          <w:b/>
          <w:bCs/>
          <w:i w:val="false"/>
          <w:iCs w:val="false"/>
          <w:caps w:val="false"/>
          <w:color w:val="85878F"/>
          <w:spacing w:val="24"/>
          <w:sz w:val="12"/>
          <w:szCs w:val="12"/>
        </w:rPr>
        <w:t xml:space="preserve">ON THE PAGE</w:t>
      </w:r>
    </w:p>
    <w:p>
      <w:pPr>
        <w:pBdr>
          <w:left w:val="single" w:color="85878F"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SUMMARY:  Five years of continuous fully remote work in security SaaS, Pacific Time.
DATES:    Malwarebytes  10/2021 to 02/2025
          CyReaux       12/2025 to Present</w:t>
      </w:r>
    </w:p>
    <w:p>
      <w:pPr>
        <w:spacing w:after="140" w:before="0" w:line="300"/>
      </w:pPr>
      <w:r>
        <w:rPr>
          <w:rFonts w:ascii="Calibri" w:cs="Calibri" w:eastAsia="Calibri" w:hAnsi="Calibri"/>
          <w:b w:val="false"/>
          <w:bCs w:val="false"/>
          <w:i w:val="false"/>
          <w:iCs w:val="false"/>
          <w:caps w:val="false"/>
          <w:color w:val="4A4C55"/>
          <w:sz w:val="20"/>
          <w:szCs w:val="20"/>
        </w:rPr>
        <w:t xml:space="preserve">March through November 2025 is unaccounted for, which is roughly nine months. Elapsed time from October 2021 to now is just under five years, so the five is defensible as a span, but continuous is not, and the actual employed time in security SaaS is about four years and one month. A reader who does the arithmetic finds both the shortfall and the hole. This is the same failure mode as the original resume: a number in the summary that the body disproves, which causes the reader to discount every other number on the page including the 90 percent and the 88 percent.</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Change the line to something the dates support. Five years in security SaaS, fully remote, Pacific Time is accurate and keeps the value of the claim. Cut the word continuous. If the gap was deliberate time off, that is a normal thing and it does not belong in the summary either way.</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2.  </w:t>
      </w:r>
      <w:r>
        <w:rPr>
          <w:rFonts w:ascii="Georgia" w:cs="Georgia" w:eastAsia="Georgia" w:hAnsi="Georgia"/>
          <w:b w:val="false"/>
          <w:bCs w:val="false"/>
          <w:i w:val="false"/>
          <w:iCs w:val="false"/>
          <w:caps w:val="false"/>
          <w:color w:val="1C1D22"/>
          <w:sz w:val="24"/>
          <w:szCs w:val="24"/>
        </w:rPr>
        <w:t xml:space="preserve">Have a sentence ready for the nine month gap</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ANSWER</w:t>
      </w:r>
    </w:p>
    <w:p>
      <w:pPr>
        <w:spacing w:after="140" w:before="0" w:line="300"/>
      </w:pPr>
      <w:r>
        <w:rPr>
          <w:rFonts w:ascii="Calibri" w:cs="Calibri" w:eastAsia="Calibri" w:hAnsi="Calibri"/>
          <w:b w:val="false"/>
          <w:bCs w:val="false"/>
          <w:i w:val="false"/>
          <w:iCs w:val="false"/>
          <w:caps w:val="false"/>
          <w:color w:val="4A4C55"/>
          <w:sz w:val="20"/>
          <w:szCs w:val="20"/>
        </w:rPr>
        <w:t xml:space="preserve">This is not necessarily a resume change. Gaps in 2025 are common and most recruiters will not blink at nine months if there is a plain answer. What loses the room is hesitating, or having the interviewer notice it before you address it. The reason it matters more than usual here is that the whole rewrite has been about making the document survive scrutiny, and this is now the first thing a careful reader will find.</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Decide the one sentence version and say it early, in the screening call, before anyone has to ask. If the gap contains anything useful, consulting, certification, contract work, put it on the resume as a line with dates. If it does not, leave the resume alone and just carry the answer.</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2  /  Carried forward</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Two items still open from the last round</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3.  </w:t>
      </w:r>
      <w:r>
        <w:rPr>
          <w:rFonts w:ascii="Georgia" w:cs="Georgia" w:eastAsia="Georgia" w:hAnsi="Georgia"/>
          <w:b w:val="false"/>
          <w:bCs w:val="false"/>
          <w:i w:val="false"/>
          <w:iCs w:val="false"/>
          <w:caps w:val="false"/>
          <w:color w:val="1C1D22"/>
          <w:sz w:val="24"/>
          <w:szCs w:val="24"/>
        </w:rPr>
        <w:t xml:space="preserve">The CyReaux bullets lost their brackets but not their vagueness</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TIGHTEN</w:t>
      </w:r>
    </w:p>
    <w:p>
      <w:pPr>
        <w:spacing w:after="40"/>
      </w:pPr>
      <w:r>
        <w:rPr>
          <w:rFonts w:ascii="Consolas" w:cs="Consolas" w:eastAsia="Consolas" w:hAnsi="Consolas"/>
          <w:b/>
          <w:bCs/>
          <w:i w:val="false"/>
          <w:iCs w:val="false"/>
          <w:caps w:val="false"/>
          <w:color w:val="85878F"/>
          <w:spacing w:val="24"/>
          <w:sz w:val="12"/>
          <w:szCs w:val="12"/>
        </w:rPr>
        <w:t xml:space="preserve">ON THE PAGE</w:t>
      </w:r>
    </w:p>
    <w:p>
      <w:pPr>
        <w:pBdr>
          <w:left w:val="single" w:color="85878F" w:sz="14" w:space="12"/>
        </w:pBdr>
        <w:shd w:fill="F4F4F2" w:color="auto" w:val="clear"/>
        <w:spacing w:after="140" w:line="300"/>
        <w:ind w:left="160"/>
      </w:pPr>
      <w:r>
        <w:rPr>
          <w:rFonts w:ascii="Consolas" w:cs="Consolas" w:eastAsia="Consolas" w:hAnsi="Consolas"/>
          <w:b w:val="false"/>
          <w:bCs w:val="false"/>
          <w:i w:val="false"/>
          <w:iCs w:val="false"/>
          <w:caps w:val="false"/>
          <w:color w:val="4A4C55"/>
          <w:sz w:val="16"/>
          <w:szCs w:val="16"/>
        </w:rPr>
        <w:t xml:space="preserve">...a single brand and messaging standard applied across all internal and client-facing assets.
Built the client experience training curriculum, producing learning modules so that every consultant...</w:t>
      </w:r>
    </w:p>
    <w:p>
      <w:pPr>
        <w:spacing w:after="140" w:before="0" w:line="300"/>
      </w:pPr>
      <w:r>
        <w:rPr>
          <w:rFonts w:ascii="Calibri" w:cs="Calibri" w:eastAsia="Calibri" w:hAnsi="Calibri"/>
          <w:b w:val="false"/>
          <w:bCs w:val="false"/>
          <w:i w:val="false"/>
          <w:iCs w:val="false"/>
          <w:caps w:val="false"/>
          <w:color w:val="4A4C55"/>
          <w:sz w:val="20"/>
          <w:szCs w:val="20"/>
        </w:rPr>
        <w:t xml:space="preserve">The placeholders are gone, which was the urgent part, and the document is sendable now. But both were solved by deleting the number rather than supplying one. All assets and learning modules are unquantified, so the current role still reads without a single measurable outcome in it. That was item three last round and it is still item three. It is no longer dangerous, it is just the weakest block on the page, and it happens to be the job you hold right now.</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Put one real number in each of the first two bullets. Six templates, nine modules, four consultants trained, whatever the true figures are. A small honest number is worth more than an adjective, and this is the last thing standing between the resume being fine and being hard to argue with.</w:t>
      </w:r>
    </w:p>
    <w:p>
      <w:pPr>
        <w:pStyle w:val="Heading2"/>
        <w:pBdr>
          <w:left w:val="single" w:color="85878F" w:sz="18" w:space="10"/>
        </w:pBdr>
        <w:spacing w:after="60" w:before="300"/>
        <w:ind w:left="120"/>
      </w:pPr>
      <w:r>
        <w:rPr>
          <w:rFonts w:ascii="Consolas" w:cs="Consolas" w:eastAsia="Consolas" w:hAnsi="Consolas"/>
          <w:b/>
          <w:bCs/>
          <w:i w:val="false"/>
          <w:iCs w:val="false"/>
          <w:caps w:val="false"/>
          <w:color w:val="85878F"/>
          <w:sz w:val="24"/>
          <w:szCs w:val="24"/>
        </w:rPr>
        <w:t xml:space="preserve">4.  </w:t>
      </w:r>
      <w:r>
        <w:rPr>
          <w:rFonts w:ascii="Georgia" w:cs="Georgia" w:eastAsia="Georgia" w:hAnsi="Georgia"/>
          <w:b w:val="false"/>
          <w:bCs w:val="false"/>
          <w:i w:val="false"/>
          <w:iCs w:val="false"/>
          <w:caps w:val="false"/>
          <w:color w:val="1C1D22"/>
          <w:sz w:val="24"/>
          <w:szCs w:val="24"/>
        </w:rPr>
        <w:t xml:space="preserve">Still nothing about managing people</w:t>
      </w:r>
    </w:p>
    <w:p>
      <w:pPr>
        <w:pBdr>
          <w:left w:val="single" w:color="85878F" w:sz="18" w:space="10"/>
        </w:pBdr>
        <w:spacing w:after="140"/>
        <w:ind w:left="120"/>
      </w:pPr>
      <w:r>
        <w:rPr>
          <w:rFonts w:ascii="Consolas" w:cs="Consolas" w:eastAsia="Consolas" w:hAnsi="Consolas"/>
          <w:b/>
          <w:bCs/>
          <w:i w:val="false"/>
          <w:iCs w:val="false"/>
          <w:caps w:val="false"/>
          <w:color w:val="85878F"/>
          <w:spacing w:val="26"/>
          <w:sz w:val="13"/>
          <w:szCs w:val="13"/>
        </w:rPr>
        <w:t xml:space="preserve">CONFIRM</w:t>
      </w:r>
    </w:p>
    <w:p>
      <w:pPr>
        <w:spacing w:after="140" w:before="0" w:line="300"/>
      </w:pPr>
      <w:r>
        <w:rPr>
          <w:rFonts w:ascii="Calibri" w:cs="Calibri" w:eastAsia="Calibri" w:hAnsi="Calibri"/>
          <w:b w:val="false"/>
          <w:bCs w:val="false"/>
          <w:i w:val="false"/>
          <w:iCs w:val="false"/>
          <w:caps w:val="false"/>
          <w:color w:val="4A4C55"/>
          <w:sz w:val="20"/>
          <w:szCs w:val="20"/>
        </w:rPr>
        <w:t xml:space="preserve">Unchanged from the last round, and repeated only because of what it is worth. Vanta is currently hiring a Customer Success Manager at $138,000 to $162,000 and a Senior Manager of Customer Success at $198,000 to $233,000. Same company, same product, same customers. The difference is people management, and nothing on this resume says you have had direct reports.</w:t>
      </w:r>
    </w:p>
    <w:p>
      <w:pPr>
        <w:pBdr>
          <w:left w:val="single" w:color="2E5E4E" w:sz="14" w:space="12"/>
        </w:pBdr>
        <w:shd w:fill="E9F0EC" w:color="auto" w:val="clear"/>
        <w:spacing w:after="220" w:line="300"/>
        <w:ind w:left="160"/>
      </w:pPr>
      <w:r>
        <w:rPr>
          <w:rFonts w:ascii="Consolas" w:cs="Consolas" w:eastAsia="Consolas" w:hAnsi="Consolas"/>
          <w:b/>
          <w:bCs/>
          <w:i w:val="false"/>
          <w:iCs w:val="false"/>
          <w:caps w:val="false"/>
          <w:color w:val="2E5E4E"/>
          <w:spacing w:val="24"/>
          <w:sz w:val="12"/>
          <w:szCs w:val="12"/>
        </w:rPr>
        <w:t xml:space="preserve">ACTION   </w:t>
      </w:r>
      <w:r>
        <w:rPr>
          <w:rFonts w:ascii="Calibri" w:cs="Calibri" w:eastAsia="Calibri" w:hAnsi="Calibri"/>
          <w:b w:val="false"/>
          <w:bCs w:val="false"/>
          <w:i w:val="false"/>
          <w:iCs w:val="false"/>
          <w:caps w:val="false"/>
          <w:color w:val="1C1D22"/>
          <w:sz w:val="19"/>
          <w:szCs w:val="19"/>
        </w:rPr>
        <w:t xml:space="preserve">If you have managed anyone, add it with the headcount. That is a one line change worth roughly sixty thousand dollars in reachable roles. If you have not, leave it and make it a requirement of the next job rather than this resume.</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3  /  Proofreading</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Four small consistency items</w:t>
      </w:r>
    </w:p>
    <w:p>
      <w:pPr>
        <w:spacing w:after="160" w:before="0" w:line="300"/>
      </w:pPr>
      <w:r>
        <w:rPr>
          <w:rFonts w:ascii="Calibri" w:cs="Calibri" w:eastAsia="Calibri" w:hAnsi="Calibri"/>
          <w:b w:val="false"/>
          <w:bCs w:val="false"/>
          <w:i w:val="false"/>
          <w:iCs w:val="false"/>
          <w:caps w:val="false"/>
          <w:color w:val="4A4C55"/>
          <w:sz w:val="20"/>
          <w:szCs w:val="20"/>
        </w:rPr>
        <w:t xml:space="preserve">None of these will cost you an interview on their own. They are grouped because the last version failed on proofreading specifically, so this document is worth one careful read before it goes anywhere.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780"/>
      </w:tblGrid>
      <w:tr>
        <w:trPr>
          <w:tblHeader/>
        </w:trPr>
        <w:tc>
          <w:tcPr>
            <w:tcW w:type="dxa" w:w="27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Item</w:t>
            </w:r>
          </w:p>
        </w:tc>
        <w:tc>
          <w:tcPr>
            <w:tcW w:type="dxa" w:w="36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says now</w:t>
            </w:r>
          </w:p>
        </w:tc>
        <w:tc>
          <w:tcPr>
            <w:tcW w:type="dxa" w:w="378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Make it</w:t>
            </w:r>
          </w:p>
        </w:tc>
      </w:tr>
      <w:tr>
        <w:tc>
          <w:tcPr>
            <w:tcW w:type="dxa" w:w="27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The customer count</w:t>
            </w:r>
          </w:p>
        </w:tc>
        <w:tc>
          <w:tcPr>
            <w:tcW w:type="dxa" w:w="36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Summary reads 1300+, the Malwarebytes bullet reads 1,300+</w:t>
            </w:r>
          </w:p>
        </w:tc>
        <w:tc>
          <w:tcPr>
            <w:tcW w:type="dxa" w:w="37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Pick one and use it in both places</w:t>
            </w:r>
          </w:p>
        </w:tc>
      </w:tr>
      <w:tr>
        <w:tc>
          <w:tcPr>
            <w:tcW w:type="dxa" w:w="27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Client versus customer</w:t>
            </w:r>
          </w:p>
        </w:tc>
        <w:tc>
          <w:tcPr>
            <w:tcW w:type="dxa" w:w="36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The role title now says Customer Experience, but both bullets underneath still say client experience</w:t>
            </w:r>
          </w:p>
        </w:tc>
        <w:tc>
          <w:tcPr>
            <w:tcW w:type="dxa" w:w="37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Match the bullets to the title</w:t>
            </w:r>
          </w:p>
        </w:tc>
      </w:tr>
      <w:tr>
        <w:tc>
          <w:tcPr>
            <w:tcW w:type="dxa" w:w="27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Date separators</w:t>
            </w:r>
          </w:p>
        </w:tc>
        <w:tc>
          <w:tcPr>
            <w:tcW w:type="dxa" w:w="36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Malwarebytes and Holly Yashi use a dash, CyReaux uses a hyphen</w:t>
            </w:r>
          </w:p>
        </w:tc>
        <w:tc>
          <w:tcPr>
            <w:tcW w:type="dxa" w:w="37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Use the same character in all three</w:t>
            </w:r>
          </w:p>
        </w:tc>
      </w:tr>
      <w:tr>
        <w:tc>
          <w:tcPr>
            <w:tcW w:type="dxa" w:w="27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The header ampersand</w:t>
            </w:r>
          </w:p>
        </w:tc>
        <w:tc>
          <w:tcPr>
            <w:tcW w:type="dxa" w:w="36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Customer Success, Enablement, &amp; Experience Leader</w:t>
            </w:r>
          </w:p>
        </w:tc>
        <w:tc>
          <w:tcPr>
            <w:tcW w:type="dxa" w:w="37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Use and, matching the rest of the document</w:t>
            </w:r>
          </w:p>
        </w:tc>
      </w:tr>
    </w:tbl>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4  /  Resolved</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Closed this round</w:t>
      </w:r>
    </w:p>
    <w:p>
      <w:pPr>
        <w:spacing w:after="160" w:before="0" w:line="300"/>
      </w:pPr>
      <w:r>
        <w:rPr>
          <w:rFonts w:ascii="Calibri" w:cs="Calibri" w:eastAsia="Calibri" w:hAnsi="Calibri"/>
          <w:b w:val="false"/>
          <w:bCs w:val="false"/>
          <w:i w:val="false"/>
          <w:iCs w:val="false"/>
          <w:caps w:val="false"/>
          <w:color w:val="4A4C55"/>
          <w:sz w:val="20"/>
          <w:szCs w:val="20"/>
        </w:rPr>
        <w:t xml:space="preserve">Six items from the last list are done. Noting them so nothing gets undone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580"/>
      </w:tblGrid>
      <w:tr>
        <w:trPr>
          <w:tblHeader/>
        </w:trPr>
        <w:tc>
          <w:tcPr>
            <w:tcW w:type="dxa" w:w="27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Item</w:t>
            </w:r>
          </w:p>
        </w:tc>
        <w:tc>
          <w:tcPr>
            <w:tcW w:type="dxa" w:w="380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Was</w:t>
            </w:r>
          </w:p>
        </w:tc>
        <w:tc>
          <w:tcPr>
            <w:tcW w:type="dxa" w:w="3580"/>
            <w:tcBorders>
              <w:top w:val="single" w:color="2E5E4E" w:sz="4"/>
              <w:left w:val="single" w:color="2E5E4E" w:sz="4"/>
              <w:bottom w:val="single" w:color="2E5E4E" w:sz="4"/>
              <w:right w:val="single" w:color="2E5E4E" w:sz="4"/>
            </w:tcBorders>
            <w:shd w:fill="2E5E4E"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Now</w:t>
            </w:r>
          </w:p>
        </w:tc>
      </w:tr>
      <w:tr>
        <w:tc>
          <w:tcPr>
            <w:tcW w:type="dxa" w:w="27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Three placeholders</w:t>
            </w:r>
          </w:p>
        </w:tc>
        <w:tc>
          <w:tcPr>
            <w:tcW w:type="dxa" w:w="38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[X] assets, [X] modules, [C-suite and agency leadership]</w:t>
            </w:r>
          </w:p>
        </w:tc>
        <w:tc>
          <w:tcPr>
            <w:tcW w:type="dxa" w:w="35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All gone. This was the blocking item and it is closed.</w:t>
            </w:r>
          </w:p>
        </w:tc>
      </w:tr>
      <w:tr>
        <w:tc>
          <w:tcPr>
            <w:tcW w:type="dxa" w:w="27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The denominator</w:t>
            </w:r>
          </w:p>
        </w:tc>
        <w:tc>
          <w:tcPr>
            <w:tcW w:type="dxa" w:w="38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across hundreds of customers</w:t>
            </w:r>
          </w:p>
        </w:tc>
        <w:tc>
          <w:tcPr>
            <w:tcW w:type="dxa" w:w="35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across 1,300+ customers, in the summary and the bullet</w:t>
            </w:r>
          </w:p>
        </w:tc>
      </w:tr>
      <w:tr>
        <w:tc>
          <w:tcPr>
            <w:tcW w:type="dxa" w:w="27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Two year metric window</w:t>
            </w:r>
          </w:p>
        </w:tc>
        <w:tc>
          <w:tcPr>
            <w:tcW w:type="dxa" w:w="38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...88% enablement rate across hundreds of customers over two years</w:t>
            </w:r>
          </w:p>
        </w:tc>
        <w:tc>
          <w:tcPr>
            <w:tcW w:type="dxa" w:w="35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over two years removed, metric now reads as standing performance</w:t>
            </w:r>
          </w:p>
        </w:tc>
      </w:tr>
      <w:tr>
        <w:tc>
          <w:tcPr>
            <w:tcW w:type="dxa" w:w="27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Months on dates</w:t>
            </w:r>
          </w:p>
        </w:tc>
        <w:tc>
          <w:tcPr>
            <w:tcW w:type="dxa" w:w="38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2021 - 2025, 2025 - Present, 2005 - 2021</w:t>
            </w:r>
          </w:p>
        </w:tc>
        <w:tc>
          <w:tcPr>
            <w:tcW w:type="dxa" w:w="35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10/2021, 12/2025, 05/2005. Correct call, and it surfaced item one.</w:t>
            </w:r>
          </w:p>
        </w:tc>
      </w:tr>
      <w:tr>
        <w:tc>
          <w:tcPr>
            <w:tcW w:type="dxa" w:w="27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Senior on the title</w:t>
            </w:r>
          </w:p>
        </w:tc>
        <w:tc>
          <w:tcPr>
            <w:tcW w:type="dxa" w:w="380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Managed Security Services Onboarding Manager</w:t>
            </w:r>
          </w:p>
        </w:tc>
        <w:tc>
          <w:tcPr>
            <w:tcW w:type="dxa" w:w="3580"/>
            <w:tcBorders>
              <w:top w:val="single" w:color="E7E7E4" w:sz="4"/>
              <w:left w:val="single" w:color="E7E7E4" w:sz="4"/>
              <w:bottom w:val="single" w:color="E7E7E4" w:sz="4"/>
              <w:right w:val="single" w:color="E7E7E4"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Senior Onboarding Manager, Managed Security Services</w:t>
            </w:r>
          </w:p>
        </w:tc>
      </w:tr>
      <w:tr>
        <w:tc>
          <w:tcPr>
            <w:tcW w:type="dxa" w:w="27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C1D22"/>
                <w:sz w:val="19"/>
                <w:szCs w:val="19"/>
              </w:rPr>
              <w:t xml:space="preserve">Education framing</w:t>
            </w:r>
          </w:p>
        </w:tc>
        <w:tc>
          <w:tcPr>
            <w:tcW w:type="dxa" w:w="380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Added and education to the Malwarebytes program bullet</w:t>
            </w:r>
          </w:p>
        </w:tc>
        <w:tc>
          <w:tcPr>
            <w:tcW w:type="dxa" w:w="3580"/>
            <w:tcBorders>
              <w:top w:val="single" w:color="E7E7E4" w:sz="4"/>
              <w:left w:val="single" w:color="E7E7E4" w:sz="4"/>
              <w:bottom w:val="single" w:color="E7E7E4" w:sz="4"/>
              <w:right w:val="single" w:color="E7E7E4" w:sz="4"/>
            </w:tcBorders>
            <w:shd w:fill="F4F4F2"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A4C55"/>
                <w:sz w:val="19"/>
                <w:szCs w:val="19"/>
              </w:rPr>
              <w:t xml:space="preserve">Strengthens the Drata Customer Education Manager application specifically</w:t>
            </w:r>
          </w:p>
        </w:tc>
      </w:tr>
    </w:tbl>
    <w:p>
      <w:pPr>
        <w:spacing w:after="120" w:before="200" w:line="300"/>
      </w:pPr>
      <w:r>
        <w:rPr>
          <w:rFonts w:ascii="Calibri" w:cs="Calibri" w:eastAsia="Calibri" w:hAnsi="Calibri"/>
          <w:b w:val="false"/>
          <w:bCs w:val="false"/>
          <w:i w:val="false"/>
          <w:iCs w:val="false"/>
          <w:caps w:val="false"/>
          <w:color w:val="4A4C55"/>
          <w:sz w:val="20"/>
          <w:szCs w:val="20"/>
        </w:rPr>
        <w:t xml:space="preserve">One judgment call worth naming. Restoring Senior to the Malwarebytes title is the right answer if that is what the offer letter said, and it matters concretely, because SecurityScorecard's Senior Customer Success Manager role at $160,000 to $200,000 calls five to seven years non-negotiable for the senior title. If Senior was not the real title, take it back off. The entire point of the last two rounds has been that a claim which does not survive a check costs more than it earns.</w:t>
      </w:r>
    </w:p>
    <w:p>
      <w:pPr>
        <w:pBdr>
          <w:bottom w:val="single" w:color="1C1D22"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2E5E4E"/>
          <w:spacing w:val="30"/>
          <w:sz w:val="15"/>
          <w:szCs w:val="15"/>
        </w:rPr>
        <w:t xml:space="preserve">Section 5  /  Sequence</w:t>
      </w:r>
    </w:p>
    <w:p>
      <w:pPr>
        <w:pStyle w:val="Heading1"/>
        <w:spacing w:after="160" w:before="0"/>
      </w:pPr>
      <w:r>
        <w:rPr>
          <w:rFonts w:ascii="Georgia" w:cs="Georgia" w:eastAsia="Georgia" w:hAnsi="Georgia"/>
          <w:b w:val="false"/>
          <w:bCs w:val="false"/>
          <w:i w:val="false"/>
          <w:iCs w:val="false"/>
          <w:caps w:val="false"/>
          <w:color w:val="1C1D22"/>
          <w:sz w:val="34"/>
          <w:szCs w:val="34"/>
        </w:rPr>
        <w:t xml:space="preserve">What to do, in order</w:t>
      </w:r>
    </w:p>
    <w:p>
      <w:pPr>
        <w:spacing w:after="100" w:before="0" w:line="300"/>
      </w:pPr>
      <w:r>
        <w:rPr>
          <w:rFonts w:ascii="Calibri" w:cs="Calibri" w:eastAsia="Calibri" w:hAnsi="Calibri"/>
          <w:b w:val="false"/>
          <w:bCs w:val="false"/>
          <w:i w:val="false"/>
          <w:iCs w:val="false"/>
          <w:caps w:val="false"/>
          <w:color w:val="4A4C55"/>
          <w:sz w:val="20"/>
          <w:szCs w:val="20"/>
        </w:rPr>
        <w:t xml:space="preserve">1.  Fix the continuous line in the summary. One word, and it removes the contradiction.</w:t>
      </w:r>
    </w:p>
    <w:p>
      <w:pPr>
        <w:spacing w:after="100" w:before="0" w:line="300"/>
      </w:pPr>
      <w:r>
        <w:rPr>
          <w:rFonts w:ascii="Calibri" w:cs="Calibri" w:eastAsia="Calibri" w:hAnsi="Calibri"/>
          <w:b w:val="false"/>
          <w:bCs w:val="false"/>
          <w:i w:val="false"/>
          <w:iCs w:val="false"/>
          <w:caps w:val="false"/>
          <w:color w:val="4A4C55"/>
          <w:sz w:val="20"/>
          <w:szCs w:val="20"/>
        </w:rPr>
        <w:t xml:space="preserve">2.  Decide your one sentence answer for the 2025 gap, and whether anything from it belongs on the resume as a dated line.</w:t>
      </w:r>
    </w:p>
    <w:p>
      <w:pPr>
        <w:spacing w:after="100" w:before="0" w:line="300"/>
      </w:pPr>
      <w:r>
        <w:rPr>
          <w:rFonts w:ascii="Calibri" w:cs="Calibri" w:eastAsia="Calibri" w:hAnsi="Calibri"/>
          <w:b w:val="false"/>
          <w:bCs w:val="false"/>
          <w:i w:val="false"/>
          <w:iCs w:val="false"/>
          <w:caps w:val="false"/>
          <w:color w:val="4A4C55"/>
          <w:sz w:val="20"/>
          <w:szCs w:val="20"/>
        </w:rPr>
        <w:t xml:space="preserve">3.  Put one real number into each of the first two CyReaux bullets.</w:t>
      </w:r>
    </w:p>
    <w:p>
      <w:pPr>
        <w:spacing w:after="100" w:before="0" w:line="300"/>
      </w:pPr>
      <w:r>
        <w:rPr>
          <w:rFonts w:ascii="Calibri" w:cs="Calibri" w:eastAsia="Calibri" w:hAnsi="Calibri"/>
          <w:b w:val="false"/>
          <w:bCs w:val="false"/>
          <w:i w:val="false"/>
          <w:iCs w:val="false"/>
          <w:caps w:val="false"/>
          <w:color w:val="4A4C55"/>
          <w:sz w:val="20"/>
          <w:szCs w:val="20"/>
        </w:rPr>
        <w:t xml:space="preserve">4.  Run the four consistency fixes in section three. Five minutes.</w:t>
      </w:r>
    </w:p>
    <w:p>
      <w:pPr>
        <w:spacing w:after="200" w:before="0" w:line="300"/>
      </w:pPr>
      <w:r>
        <w:rPr>
          <w:rFonts w:ascii="Calibri" w:cs="Calibri" w:eastAsia="Calibri" w:hAnsi="Calibri"/>
          <w:b w:val="false"/>
          <w:bCs w:val="false"/>
          <w:i w:val="false"/>
          <w:iCs w:val="false"/>
          <w:caps w:val="false"/>
          <w:color w:val="4A4C55"/>
          <w:sz w:val="20"/>
          <w:szCs w:val="20"/>
        </w:rPr>
        <w:t xml:space="preserve">5.  Confirm two things you know and I do not: whether the Malwarebytes title carried Senior, and whether HubSpot is a tool you have actually used.</w:t>
      </w:r>
    </w:p>
    <w:p>
      <w:pPr>
        <w:pBdr>
          <w:left w:val="single" w:color="DCDCD9" w:sz="10" w:space="14"/>
        </w:pBdr>
        <w:spacing w:after="160" w:before="200"/>
        <w:ind w:left="180"/>
      </w:pPr>
      <w:r>
        <w:rPr>
          <w:rFonts w:ascii="Calibri" w:cs="Calibri" w:eastAsia="Calibri" w:hAnsi="Calibri"/>
          <w:b w:val="false"/>
          <w:bCs w:val="false"/>
          <w:i/>
          <w:iCs/>
          <w:caps w:val="false"/>
          <w:color w:val="85878F"/>
          <w:sz w:val="18"/>
          <w:szCs w:val="18"/>
        </w:rPr>
        <w:t xml:space="preserve">After step one this is sendable. After step three it is genuinely strong. The first application is Drata, Customer Education Manager, and the education language you added to the Malwarebytes bullet was written for it whether you meant it that way or not.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C55"/>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C1D22"/>
      <w:sz w:val="34"/>
      <w:szCs w:val="34"/>
    </w:rPr>
  </w:style>
  <w:style w:type="paragraph" w:styleId="Heading2">
    <w:name w:val="Heading 2"/>
    <w:basedOn w:val="Normal"/>
    <w:next w:val="Normal"/>
    <w:qFormat/>
    <w:rPr>
      <w:rFonts w:ascii="Georgia" w:cs="Georgia" w:eastAsia="Georgia" w:hAnsi="Georgia"/>
      <w:b w:val="false"/>
      <w:bCs w:val="false"/>
      <w:color w:val="1C1D2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punch list round two, Jeffrey G. Walton</dc:title>
  <dc:creator>Job Search Analysis</dc:creator>
  <dc:description>Review of Walton_2026_Resume_MASTER.docx against the previous punch list</dc:description>
  <cp:lastModifiedBy>Un-named</cp:lastModifiedBy>
  <cp:revision>1</cp:revision>
  <dcterms:created xsi:type="dcterms:W3CDTF">2026-09-10T23:07:30.519Z</dcterms:created>
  <dcterms:modified xsi:type="dcterms:W3CDTF">2026-09-10T23:07:30.531Z</dcterms:modified>
</cp:coreProperties>
</file>

<file path=docProps/custom.xml><?xml version="1.0" encoding="utf-8"?>
<Properties xmlns="http://schemas.openxmlformats.org/officeDocument/2006/custom-properties" xmlns:vt="http://schemas.openxmlformats.org/officeDocument/2006/docPropsVTypes"/>
</file>