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0" w:lineRule="auto"/>
        <w:jc w:val="center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4f72"/>
          <w:sz w:val="34"/>
          <w:szCs w:val="34"/>
          <w:rtl w:val="0"/>
        </w:rPr>
        <w:t xml:space="preserve">ROBERT J. SHAKER 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rshaker2@gmail.com  ·  508-615-0506  ·  linkedin.com/in/rshaker2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e86c1" w:space="2" w:sz="6" w:val="single"/>
        </w:pBdr>
        <w:spacing w:after="40" w:before="160" w:lineRule="auto"/>
        <w:rPr>
          <w:rFonts w:ascii="Arial" w:cs="Arial" w:eastAsia="Arial" w:hAnsi="Arial"/>
          <w:b w:val="1"/>
          <w:bCs w:val="1"/>
          <w:color w:val="fffff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b4f72"/>
          <w:rtl w:val="0"/>
        </w:rPr>
        <w:t xml:space="preserve">KEY HIGHLIGHTS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30" w:before="140" w:lineRule="auto"/>
        <w:ind w:left="720" w:hanging="360"/>
        <w:rPr>
          <w:rFonts w:ascii="Arial" w:cs="Arial" w:eastAsia="Arial" w:hAnsi="Arial"/>
          <w:color w:val="11111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color w:val="111111"/>
          <w:sz w:val="18"/>
          <w:szCs w:val="18"/>
          <w:rtl w:val="0"/>
        </w:rPr>
        <w:t xml:space="preserve">Scaled 4 PE-backed businesses from $10M to $500M+ at 12-50% YoY growth, including zero to $100M+ in under 5 years, while improving margins from negative EBITDA to profitability across multiple engagements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30" w:before="140" w:lineRule="auto"/>
        <w:ind w:left="720" w:hanging="360"/>
        <w:rPr>
          <w:rFonts w:ascii="Arial" w:cs="Arial" w:eastAsia="Arial" w:hAnsi="Arial"/>
          <w:color w:val="11111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color w:val="111111"/>
          <w:sz w:val="18"/>
          <w:szCs w:val="18"/>
          <w:rtl w:val="0"/>
        </w:rPr>
        <w:t xml:space="preserve">Built the global enablement engine behind every services launch of the last decade: 350 sellers certified across Symantec and Malwarebytes, GSI and MSP partner networks activated through Accenture, PwC and Pax8, and productized as founder of FluentOrg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30" w:before="140" w:lineRule="auto"/>
        <w:ind w:left="720" w:hanging="360"/>
        <w:rPr>
          <w:rFonts w:ascii="Arial" w:cs="Arial" w:eastAsia="Arial" w:hAnsi="Arial"/>
          <w:color w:val="11111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color w:val="111111"/>
          <w:sz w:val="18"/>
          <w:szCs w:val="18"/>
          <w:rtl w:val="0"/>
        </w:rPr>
        <w:t xml:space="preserve">Led AI transformation programs at scale, deploying cross functional AI-driven tooling that reduced ship times by 75%, compressed time-to-market from years to months, and cut analyst investigation times from hours to minutes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30" w:before="140" w:lineRule="auto"/>
        <w:ind w:left="720" w:hanging="360"/>
        <w:rPr>
          <w:rFonts w:ascii="Arial" w:cs="Arial" w:eastAsia="Arial" w:hAnsi="Arial"/>
          <w:color w:val="11111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color w:val="111111"/>
          <w:sz w:val="18"/>
          <w:szCs w:val="18"/>
          <w:rtl w:val="0"/>
        </w:rPr>
        <w:t xml:space="preserve">Built, launched, and restructured high-performing engineering and product organizations, scaling teams from zero to 50+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30" w:before="140" w:lineRule="auto"/>
        <w:ind w:left="720" w:hanging="360"/>
        <w:rPr>
          <w:rFonts w:ascii="Arial" w:cs="Arial" w:eastAsia="Arial" w:hAnsi="Arial"/>
          <w:color w:val="11111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color w:val="111111"/>
          <w:sz w:val="18"/>
          <w:szCs w:val="18"/>
          <w:rtl w:val="0"/>
        </w:rPr>
        <w:t xml:space="preserve">Deep GTM and analyst influence experience, driving pipeline growth and repositioning lagging products to category leadership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30" w:before="140" w:lineRule="auto"/>
        <w:ind w:left="720" w:hanging="360"/>
        <w:rPr>
          <w:rFonts w:ascii="Arial" w:cs="Arial" w:eastAsia="Arial" w:hAnsi="Arial"/>
          <w:color w:val="11111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color w:val="111111"/>
          <w:sz w:val="18"/>
          <w:szCs w:val="18"/>
          <w:rtl w:val="0"/>
        </w:rPr>
        <w:t xml:space="preserve">Drives measurable customer retention improvements from 60% to &gt;90% via product and service-led engagement strategies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2e86c1" w:space="2" w:sz="6" w:val="single"/>
        </w:pBdr>
        <w:spacing w:after="4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4f7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right" w:leader="none" w:pos="10080"/>
        </w:tabs>
        <w:spacing w:after="4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Caldermont Management and FluentOrg,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Founder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ab/>
        <w:tab/>
        <w:tab/>
      </w:r>
      <w:r w:rsidDel="00000000" w:rsidR="00000000" w:rsidRPr="00000000">
        <w:rPr>
          <w:rFonts w:ascii="Arial" w:cs="Arial" w:eastAsia="Arial" w:hAnsi="Arial"/>
          <w:i w:val="1"/>
          <w:iCs w:val="1"/>
          <w:sz w:val="17"/>
          <w:szCs w:val="17"/>
          <w:rtl w:val="0"/>
        </w:rPr>
        <w:t xml:space="preserve">Aug 2026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right" w:leader="none" w:pos="10080"/>
        </w:tabs>
        <w:spacing w:after="40" w:lineRule="auto"/>
        <w:rPr>
          <w:rFonts w:ascii="Arial" w:cs="Arial" w:eastAsia="Arial" w:hAnsi="Arial"/>
          <w:i w:val="1"/>
          <w:iC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6"/>
          <w:szCs w:val="16"/>
          <w:rtl w:val="0"/>
        </w:rPr>
        <w:t xml:space="preserve">Fractional CPO, CTO, CMO and GM engagements, management transformation, and Organizational AI enablement.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60" w:lineRule="auto"/>
        <w:ind w:left="400" w:right="0" w:hanging="220"/>
        <w:jc w:val="left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Founded a fractional executive firm that places CPO, CTO, CMO and GM leadership into companies on project or retainer with full accountability for the function's outcomes and a documented handoff to the full-time hire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60" w:lineRule="auto"/>
        <w:ind w:left="400" w:right="0" w:hanging="220"/>
        <w:jc w:val="left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Built FluentOrg, the AI enablement platform: 28 role-based modules across 13 business functions, 18 graded exams, three certification levels, and a cross-functional handoff contract so each team's output is consumable by the next team's 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10080"/>
        </w:tabs>
        <w:spacing w:after="30" w:before="1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ActiveState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Chief Product &amp; Technology Officer</w:t>
      </w: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ab/>
        <w:t xml:space="preserve">   </w:t>
        <w:tab/>
        <w:tab/>
      </w:r>
      <w:r w:rsidDel="00000000" w:rsidR="00000000" w:rsidRPr="00000000">
        <w:rPr>
          <w:rFonts w:ascii="Arial" w:cs="Arial" w:eastAsia="Arial" w:hAnsi="Arial"/>
          <w:i w:val="1"/>
          <w:iCs w:val="1"/>
          <w:sz w:val="17"/>
          <w:szCs w:val="17"/>
          <w:rtl w:val="0"/>
        </w:rPr>
        <w:t xml:space="preserve">Jul 2025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3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6"/>
          <w:szCs w:val="16"/>
          <w:rtl w:val="0"/>
        </w:rPr>
        <w:t xml:space="preserve">Enterprise open-source runtime management &amp; software supply chain security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30" w:before="30" w:line="260" w:lineRule="auto"/>
        <w:ind w:left="400" w:hanging="220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Restructured the product and engineering team into a high performing AI organization enabling 65% increase in product development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30" w:before="30" w:line="260" w:lineRule="auto"/>
        <w:ind w:left="400" w:hanging="220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Rebuilt Gartner analyst narrative around SBOM integrity, runtime lifecycle, and supply chain risk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30" w:before="30" w:line="260" w:lineRule="auto"/>
        <w:ind w:left="400" w:hanging="220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Drove AI strategy: MCP architecture, Slack-integrated engineering intake, and AI-assisted product management and coding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30" w:before="30" w:line="260" w:lineRule="auto"/>
        <w:ind w:left="400" w:hanging="220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Led acceleration of roadmap reducing time to market by 85%, delivering the company's first new production ready products</w:t>
      </w:r>
    </w:p>
    <w:p w:rsidR="00000000" w:rsidDel="00000000" w:rsidP="00000000" w:rsidRDefault="00000000" w:rsidRPr="00000000" w14:paraId="00000015">
      <w:pPr>
        <w:widowControl w:val="0"/>
        <w:tabs>
          <w:tab w:val="right" w:leader="none" w:pos="10080"/>
        </w:tabs>
        <w:spacing w:before="140" w:lineRule="auto"/>
        <w:rPr>
          <w:rFonts w:ascii="Arial" w:cs="Arial" w:eastAsia="Arial" w:hAnsi="Arial"/>
          <w:b w:val="1"/>
          <w:bCs w:val="1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10080"/>
        </w:tabs>
        <w:spacing w:after="30" w:before="1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Trellix,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VP, XDR Product Management</w:t>
      </w: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</w:t>
        <w:tab/>
        <w:tab/>
        <w:tab/>
        <w:tab/>
      </w:r>
      <w:r w:rsidDel="00000000" w:rsidR="00000000" w:rsidRPr="00000000">
        <w:rPr>
          <w:rFonts w:ascii="Arial" w:cs="Arial" w:eastAsia="Arial" w:hAnsi="Arial"/>
          <w:i w:val="1"/>
          <w:iCs w:val="1"/>
          <w:sz w:val="17"/>
          <w:szCs w:val="17"/>
          <w:rtl w:val="0"/>
        </w:rPr>
        <w:t xml:space="preserve">Sep 2024 – Jul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3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6"/>
          <w:szCs w:val="16"/>
          <w:rtl w:val="0"/>
        </w:rPr>
        <w:t xml:space="preserve">Portfolio: Endpoint Protection, EDR (SaaS/on-prem/air-gapped), Cloud Workload Security, ePO, XDR, Policy Auditor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before="30" w:line="260" w:lineRule="auto"/>
        <w:ind w:left="400" w:hanging="220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Defined forward XDR roadmap that unified fragmented FireEye/McAfee endpoint lines into a coherent strategy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before="30" w:line="260" w:lineRule="auto"/>
        <w:ind w:left="400" w:hanging="220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Launched the AI native analyst within the endpoint portfolio that reduced analyst investigation times from hours to minutes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before="30" w:line="260" w:lineRule="auto"/>
        <w:ind w:left="400" w:hanging="220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Worked closely with analysts to transform Trellix's position from lagging to thought leader in the space</w:t>
      </w:r>
    </w:p>
    <w:p w:rsidR="00000000" w:rsidDel="00000000" w:rsidP="00000000" w:rsidRDefault="00000000" w:rsidRPr="00000000" w14:paraId="0000001B">
      <w:pPr>
        <w:tabs>
          <w:tab w:val="right" w:leader="none" w:pos="10080"/>
        </w:tabs>
        <w:spacing w:before="140" w:lineRule="auto"/>
        <w:rPr>
          <w:rFonts w:ascii="Arial" w:cs="Arial" w:eastAsia="Arial" w:hAnsi="Arial"/>
          <w:b w:val="1"/>
          <w:bCs w:val="1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10080"/>
        </w:tabs>
        <w:spacing w:after="30" w:before="1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Malwarebytes,</w:t>
      </w: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VP, Products &amp; Managed Services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 </w:t>
        <w:tab/>
        <w:tab/>
        <w:tab/>
      </w:r>
      <w:r w:rsidDel="00000000" w:rsidR="00000000" w:rsidRPr="00000000">
        <w:rPr>
          <w:rFonts w:ascii="Arial" w:cs="Arial" w:eastAsia="Arial" w:hAnsi="Arial"/>
          <w:i w:val="1"/>
          <w:iCs w:val="1"/>
          <w:sz w:val="17"/>
          <w:szCs w:val="17"/>
          <w:rtl w:val="0"/>
        </w:rPr>
        <w:t xml:space="preserve">Jul 2021 – Sep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3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6"/>
          <w:szCs w:val="16"/>
          <w:rtl w:val="0"/>
        </w:rPr>
        <w:t xml:space="preserve">P&amp;L ownership; built MDR business from concept to profitability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before="30" w:line="260" w:lineRule="auto"/>
        <w:ind w:left="400" w:hanging="220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Refocused portfolio from multi-segment sprawl to disciplined SMB strategy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before="30" w:line="260" w:lineRule="auto"/>
        <w:ind w:left="400" w:hanging="220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Improved unit economics by 60% to margins over 90%, built on a global enablement model that certified 250 sellers and put delivery in partner hands through Pax8 and the MSP channel rather than growing services headcount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before="30" w:line="260" w:lineRule="auto"/>
        <w:ind w:left="400" w:hanging="220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Improved EBITDA and customer retention from ~60% to &gt;90%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before="30" w:line="260" w:lineRule="auto"/>
        <w:ind w:left="400" w:hanging="220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Reduced time-to-market from years to months through reformed product management and engineering processes</w:t>
      </w:r>
    </w:p>
    <w:p w:rsidR="00000000" w:rsidDel="00000000" w:rsidP="00000000" w:rsidRDefault="00000000" w:rsidRPr="00000000" w14:paraId="00000022">
      <w:pPr>
        <w:tabs>
          <w:tab w:val="right" w:leader="none" w:pos="10080"/>
        </w:tabs>
        <w:spacing w:after="30" w:before="140" w:lineRule="auto"/>
        <w:rPr>
          <w:rFonts w:ascii="Arial" w:cs="Arial" w:eastAsia="Arial" w:hAnsi="Arial"/>
          <w:b w:val="1"/>
          <w:bCs w:val="1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080"/>
        </w:tabs>
        <w:spacing w:after="30" w:before="1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Symantec / NortonLifeLock, Director,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Product and Services PM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 </w:t>
        <w:tab/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17"/>
          <w:szCs w:val="17"/>
          <w:rtl w:val="0"/>
        </w:rPr>
        <w:t xml:space="preserve">Oct 2015 – Jun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3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6"/>
          <w:szCs w:val="16"/>
          <w:rtl w:val="0"/>
        </w:rPr>
        <w:t xml:space="preserve">EDR, Network Forensics, Cyber Insurance, Safe Search, Norton for Gamers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30" w:before="30" w:line="260" w:lineRule="auto"/>
        <w:ind w:left="400" w:hanging="220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Launched 12 managed services and products generating $500M+ at ~12% YoY growth. Acquired by Broadcom/Accenture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30" w:before="30" w:line="260" w:lineRule="auto"/>
        <w:ind w:left="400" w:hanging="220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Built the global enablement model behind every one of those launches, certifying 100 sellers worldwide and standing up delivery capability with GSI partners including Accenture and PwC</w:t>
      </w:r>
    </w:p>
    <w:p w:rsidR="00000000" w:rsidDel="00000000" w:rsidP="00000000" w:rsidRDefault="00000000" w:rsidRPr="00000000" w14:paraId="00000027">
      <w:pPr>
        <w:tabs>
          <w:tab w:val="right" w:leader="none" w:pos="10080"/>
        </w:tabs>
        <w:spacing w:after="20" w:before="20" w:lineRule="auto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leader="none" w:pos="10080"/>
        </w:tabs>
        <w:spacing w:after="20" w:before="20" w:lineRule="auto"/>
        <w:rPr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6"/>
          <w:szCs w:val="16"/>
          <w:rtl w:val="0"/>
        </w:rPr>
        <w:t xml:space="preserve">Symantec, </w:t>
      </w:r>
      <w:r w:rsidDel="00000000" w:rsidR="00000000" w:rsidRPr="00000000">
        <w:rPr>
          <w:rFonts w:ascii="Arial" w:cs="Arial" w:eastAsia="Arial" w:hAnsi="Arial"/>
          <w:color w:val="111111"/>
          <w:sz w:val="16"/>
          <w:szCs w:val="16"/>
          <w:rtl w:val="0"/>
        </w:rPr>
        <w:t xml:space="preserve">Field CTO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  </w:t>
        <w:tab/>
      </w:r>
      <w:r w:rsidDel="00000000" w:rsidR="00000000" w:rsidRPr="00000000">
        <w:rPr>
          <w:rFonts w:ascii="Arial" w:cs="Arial" w:eastAsia="Arial" w:hAnsi="Arial"/>
          <w:i w:val="1"/>
          <w:iCs w:val="1"/>
          <w:sz w:val="16"/>
          <w:szCs w:val="16"/>
          <w:rtl w:val="0"/>
        </w:rPr>
        <w:t xml:space="preserve">Jan 2011 – Oct 2015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right" w:leader="none" w:pos="10080"/>
        </w:tabs>
        <w:spacing w:after="20" w:before="20" w:lineRule="auto"/>
        <w:rPr>
          <w:rFonts w:ascii="Arial" w:cs="Arial" w:eastAsia="Arial" w:hAnsi="Arial"/>
          <w:b w:val="1"/>
          <w:bCs w:val="1"/>
          <w:color w:val="111111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right" w:leader="none" w:pos="10080"/>
        </w:tabs>
        <w:spacing w:after="20" w:before="20" w:lineRule="auto"/>
        <w:rPr>
          <w:rFonts w:ascii="Arial" w:cs="Arial" w:eastAsia="Arial" w:hAnsi="Arial"/>
          <w:i w:val="1"/>
          <w:iCs w:val="1"/>
          <w:color w:val="11111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16"/>
          <w:szCs w:val="16"/>
          <w:rtl w:val="0"/>
        </w:rPr>
        <w:t xml:space="preserve">Wellington Management Company &amp; Trust Bank, </w:t>
      </w:r>
      <w:r w:rsidDel="00000000" w:rsidR="00000000" w:rsidRPr="00000000">
        <w:rPr>
          <w:rFonts w:ascii="Arial" w:cs="Arial" w:eastAsia="Arial" w:hAnsi="Arial"/>
          <w:color w:val="111111"/>
          <w:sz w:val="16"/>
          <w:szCs w:val="16"/>
          <w:rtl w:val="0"/>
        </w:rPr>
        <w:t xml:space="preserve">VP &amp; CISO </w:t>
      </w: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16"/>
          <w:szCs w:val="16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111111"/>
          <w:sz w:val="16"/>
          <w:szCs w:val="16"/>
          <w:rtl w:val="0"/>
        </w:rPr>
        <w:t xml:space="preserve">Oct 2003 – Jan 2011</w:t>
      </w:r>
    </w:p>
    <w:p w:rsidR="00000000" w:rsidDel="00000000" w:rsidP="00000000" w:rsidRDefault="00000000" w:rsidRPr="00000000" w14:paraId="0000002B">
      <w:pPr>
        <w:tabs>
          <w:tab w:val="right" w:leader="none" w:pos="10080"/>
        </w:tabs>
        <w:spacing w:after="20" w:before="20" w:lineRule="auto"/>
        <w:rPr>
          <w:rFonts w:ascii="Arial" w:cs="Arial" w:eastAsia="Arial" w:hAnsi="Arial"/>
          <w:b w:val="1"/>
          <w:bCs w:val="1"/>
          <w:color w:val="111111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right" w:leader="none" w:pos="10080"/>
        </w:tabs>
        <w:spacing w:after="20" w:before="20" w:lineRule="auto"/>
        <w:rPr>
          <w:rFonts w:ascii="Arial" w:cs="Arial" w:eastAsia="Arial" w:hAnsi="Arial"/>
          <w:b w:val="1"/>
          <w:bCs w:val="1"/>
          <w:color w:val="1b4f72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16"/>
          <w:szCs w:val="16"/>
          <w:rtl w:val="0"/>
        </w:rPr>
        <w:t xml:space="preserve">Burntsand, </w:t>
      </w:r>
      <w:r w:rsidDel="00000000" w:rsidR="00000000" w:rsidRPr="00000000">
        <w:rPr>
          <w:rFonts w:ascii="Arial" w:cs="Arial" w:eastAsia="Arial" w:hAnsi="Arial"/>
          <w:color w:val="111111"/>
          <w:sz w:val="16"/>
          <w:szCs w:val="16"/>
          <w:rtl w:val="0"/>
        </w:rPr>
        <w:t xml:space="preserve">Security Solutions Director</w:t>
        <w:tab/>
        <w:t xml:space="preserve">      </w:t>
      </w:r>
      <w:r w:rsidDel="00000000" w:rsidR="00000000" w:rsidRPr="00000000">
        <w:rPr>
          <w:rFonts w:ascii="Arial" w:cs="Arial" w:eastAsia="Arial" w:hAnsi="Arial"/>
          <w:i w:val="1"/>
          <w:iCs w:val="1"/>
          <w:color w:val="111111"/>
          <w:sz w:val="16"/>
          <w:szCs w:val="16"/>
          <w:rtl w:val="0"/>
        </w:rPr>
        <w:t xml:space="preserve">Sep 1999 – Oct 2003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bottom w:color="2e86c1" w:space="2" w:sz="6" w:val="single"/>
        </w:pBdr>
        <w:spacing w:after="4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4f72"/>
          <w:rtl w:val="0"/>
        </w:rPr>
        <w:t xml:space="preserve">EDUCATION &amp; CREDENTIALS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0" w:before="40" w:lineRule="auto"/>
        <w:rPr>
          <w:rFonts w:ascii="Arial" w:cs="Arial" w:eastAsia="Arial" w:hAnsi="Arial"/>
          <w:color w:val="11111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16"/>
          <w:szCs w:val="16"/>
          <w:rtl w:val="0"/>
        </w:rPr>
        <w:t xml:space="preserve">B.S., University of Massachusetts,</w:t>
      </w:r>
      <w:r w:rsidDel="00000000" w:rsidR="00000000" w:rsidRPr="00000000">
        <w:rPr>
          <w:rFonts w:ascii="Arial" w:cs="Arial" w:eastAsia="Arial" w:hAnsi="Arial"/>
          <w:color w:val="111111"/>
          <w:sz w:val="16"/>
          <w:szCs w:val="16"/>
          <w:rtl w:val="0"/>
        </w:rPr>
        <w:t xml:space="preserve"> 2004</w:t>
      </w:r>
    </w:p>
    <w:p w:rsidR="00000000" w:rsidDel="00000000" w:rsidP="00000000" w:rsidRDefault="00000000" w:rsidRPr="00000000" w14:paraId="0000002F">
      <w:pPr>
        <w:spacing w:after="20" w:before="40" w:lineRule="auto"/>
        <w:rPr>
          <w:rFonts w:ascii="Arial" w:cs="Arial" w:eastAsia="Arial" w:hAnsi="Arial"/>
          <w:color w:val="11111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16"/>
          <w:szCs w:val="16"/>
          <w:rtl w:val="0"/>
        </w:rPr>
        <w:t xml:space="preserve">Patent:</w:t>
      </w:r>
      <w:r w:rsidDel="00000000" w:rsidR="00000000" w:rsidRPr="00000000">
        <w:rPr>
          <w:rFonts w:ascii="Arial" w:cs="Arial" w:eastAsia="Arial" w:hAnsi="Arial"/>
          <w:b w:val="1"/>
          <w:bCs w:val="1"/>
          <w:color w:val="1b4f72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111111"/>
          <w:sz w:val="16"/>
          <w:szCs w:val="16"/>
          <w:rtl w:val="0"/>
        </w:rPr>
        <w:t xml:space="preserve">US 10,466,924, Systems and Methods for Generating Memory Images of Computing Devices</w:t>
      </w:r>
    </w:p>
    <w:sectPr>
      <w:footerReference r:id="rId6" w:type="default"/>
      <w:pgSz w:h="15840" w:w="12240" w:orient="portrait"/>
      <w:pgMar w:bottom="0" w:top="45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