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lineRule="auto"/>
        <w:jc w:val="center"/>
        <w:rPr>
          <w:sz w:val="16"/>
          <w:szCs w:val="16"/>
        </w:rPr>
      </w:pPr>
      <w:r>
        <w:rPr>
          <w:rFonts w:ascii="Arial" w:cs="Arial" w:eastAsia="Arial" w:hAnsi="Arial"/>
          <w:b w:val="1"/>
          <w:bCs w:val="1"/>
          <w:color w:val="1b4f72"/>
          <w:sz w:val="34"/>
          <w:szCs w:val="34"/>
          <w:rtl w:val="0"/>
        </w:rPr>
        <w:t xml:space="preserve">ROBERT J. SHAKER II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>
        <w:rPr>
          <w:rFonts w:ascii="Arial" w:cs="Arial" w:eastAsia="Arial" w:hAnsi="Arial"/>
          <w:sz w:val="17"/>
          <w:szCs w:val="17"/>
          <w:rtl w:val="0"/>
        </w:rPr>
        <w:t xml:space="preserve">rshaker2@gmail.com  ·  508-615-0506  ·  linkedin.com/in/rshaker2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86c1" w:space="2" w:sz="6" w:val="single"/>
        </w:pBdr>
        <w:spacing w:after="40" w:before="160" w:lineRule="auto"/>
        <w:rPr>
          <w:rFonts w:ascii="Arial" w:cs="Arial" w:eastAsia="Arial" w:hAnsi="Arial"/>
          <w:b w:val="1"/>
          <w:bCs w:val="1"/>
          <w:color w:val="ffffff"/>
        </w:rPr>
      </w:pPr>
      <w:r>
        <w:rPr>
          <w:rFonts w:ascii="Arial" w:cs="Arial" w:eastAsia="Arial" w:hAnsi="Arial"/>
          <w:b w:val="1"/>
          <w:bCs w:val="1"/>
          <w:color w:val="1b4f72"/>
          <w:rtl w:val="0"/>
        </w:rPr>
        <w:t xml:space="preserve">KEY HIGHLIGHTS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30" w:before="140" w:lineRule="auto"/>
        <w:ind w:left="720" w:hanging="360"/>
        <w:rPr>
          <w:rFonts w:ascii="Arial" w:cs="Arial" w:eastAsia="Arial" w:hAnsi="Arial"/>
          <w:color w:val="111111"/>
          <w:sz w:val="18"/>
          <w:szCs w:val="18"/>
        </w:rPr>
      </w:pPr>
      <w:r>
        <w:rPr>
          <w:rFonts w:ascii="Arial" w:cs="Arial" w:eastAsia="Arial" w:hAnsi="Arial"/>
          <w:color w:val="111111"/>
          <w:sz w:val="18"/>
          <w:szCs w:val="18"/>
          <w:rtl w:val="0"/>
        </w:rPr>
        <w:t xml:space="preserve">Scaled 4 PE-backed businesses from $10M to $500M+ at 12-50% YoY growth, including zero to $100M+ in under 5 years, while improving margins from negative EBITDA to profitability across multiple engagements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30" w:before="140" w:lineRule="auto"/>
        <w:ind w:left="720" w:hanging="360"/>
        <w:rPr>
          <w:rFonts w:ascii="Arial" w:cs="Arial" w:eastAsia="Arial" w:hAnsi="Arial"/>
          <w:color w:val="111111"/>
          <w:sz w:val="18"/>
          <w:szCs w:val="18"/>
        </w:rPr>
      </w:pPr>
      <w:r>
        <w:rPr>
          <w:rFonts w:ascii="Arial" w:cs="Arial" w:eastAsia="Arial" w:hAnsi="Arial"/>
          <w:color w:val="111111"/>
          <w:sz w:val="18"/>
          <w:szCs w:val="18"/>
          <w:rtl w:val="0"/>
        </w:rPr>
        <w:t xml:space="preserve">Built the global enablement engine behind every services launch of the last decade: 350 sellers certified across Symantec and Malwarebytes, GSI and MSP partner networks activated through Accenture, PwC and Pax8, and the model itself productized at FluentOrg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30" w:before="140" w:lineRule="auto"/>
        <w:ind w:left="720" w:hanging="360"/>
        <w:rPr>
          <w:rFonts w:ascii="Arial" w:cs="Arial" w:eastAsia="Arial" w:hAnsi="Arial"/>
          <w:color w:val="111111"/>
          <w:sz w:val="18"/>
          <w:szCs w:val="18"/>
        </w:rPr>
      </w:pPr>
      <w:r>
        <w:rPr>
          <w:rFonts w:ascii="Arial" w:cs="Arial" w:eastAsia="Arial" w:hAnsi="Arial"/>
          <w:color w:val="111111"/>
          <w:sz w:val="18"/>
          <w:szCs w:val="18"/>
          <w:rtl w:val="0"/>
        </w:rPr>
        <w:t xml:space="preserve">Led AI transformation programs at scale, deploying cross-functional AI-driven tooling that reduced ship times by 75%, compressed time-to-market from years to months, and cut analyst investigation times from hours to minutes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30" w:before="140" w:lineRule="auto"/>
        <w:ind w:left="720" w:hanging="360"/>
        <w:rPr>
          <w:rFonts w:ascii="Arial" w:cs="Arial" w:eastAsia="Arial" w:hAnsi="Arial"/>
          <w:color w:val="111111"/>
          <w:sz w:val="18"/>
          <w:szCs w:val="18"/>
        </w:rPr>
      </w:pPr>
      <w:r>
        <w:rPr>
          <w:rFonts w:ascii="Arial" w:cs="Arial" w:eastAsia="Arial" w:hAnsi="Arial"/>
          <w:color w:val="111111"/>
          <w:sz w:val="18"/>
          <w:szCs w:val="18"/>
          <w:rtl w:val="0"/>
        </w:rPr>
        <w:t xml:space="preserve">Built, launched, and restructured high-performing engineering and product organizations, scaling teams from zero to 50+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30" w:before="140" w:lineRule="auto"/>
        <w:ind w:left="720" w:hanging="360"/>
        <w:rPr>
          <w:rFonts w:ascii="Arial" w:cs="Arial" w:eastAsia="Arial" w:hAnsi="Arial"/>
          <w:color w:val="111111"/>
          <w:sz w:val="18"/>
          <w:szCs w:val="18"/>
        </w:rPr>
      </w:pPr>
      <w:r>
        <w:rPr>
          <w:rFonts w:ascii="Arial" w:cs="Arial" w:eastAsia="Arial" w:hAnsi="Arial"/>
          <w:color w:val="111111"/>
          <w:sz w:val="18"/>
          <w:szCs w:val="18"/>
          <w:rtl w:val="0"/>
        </w:rPr>
        <w:t xml:space="preserve">Deep GTM and analyst influence experience, driving pipeline growth and repositioning lagging products as category leaders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30" w:before="140" w:lineRule="auto"/>
        <w:ind w:left="720" w:hanging="360"/>
        <w:rPr>
          <w:rFonts w:ascii="Arial" w:cs="Arial" w:eastAsia="Arial" w:hAnsi="Arial"/>
          <w:color w:val="111111"/>
          <w:sz w:val="18"/>
          <w:szCs w:val="18"/>
        </w:rPr>
      </w:pPr>
      <w:r>
        <w:rPr>
          <w:rFonts w:ascii="Arial" w:cs="Arial" w:eastAsia="Arial" w:hAnsi="Arial"/>
          <w:color w:val="111111"/>
          <w:sz w:val="18"/>
          <w:szCs w:val="18"/>
          <w:rtl w:val="0"/>
        </w:rPr>
        <w:t xml:space="preserve">Drove measurable customer retention improvements from 60% to &gt;90% via product- and service-led engagement strategies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2e86c1" w:space="2" w:sz="6" w:val="single"/>
        </w:pBdr>
        <w:spacing w:after="40" w:before="160" w:lineRule="auto"/>
        <w:rPr/>
      </w:pPr>
      <w:r>
        <w:rPr>
          <w:rFonts w:ascii="Arial" w:cs="Arial" w:eastAsia="Arial" w:hAnsi="Arial"/>
          <w:b w:val="1"/>
          <w:bCs w:val="1"/>
          <w:color w:val="1b4f72"/>
          <w:rtl w:val="0"/>
        </w:rPr>
        <w:t xml:space="preserve">EXPERIENCE</w:t>
      </w:r>
      <w:r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10080"/>
        </w:tabs>
        <w:spacing w:after="40" w:lineRule="auto"/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Caldermont Management and FluentOrg, </w:t>
      </w:r>
      <w:r>
        <w:rPr>
          <w:rFonts w:ascii="Arial" w:cs="Arial" w:eastAsia="Arial" w:hAnsi="Arial"/>
          <w:i w:val="1"/>
          <w:iCs w:val="1"/>
          <w:rtl w:val="0"/>
        </w:rPr>
        <w:t xml:space="preserve">Founder</w:t>
      </w:r>
      <w:r>
        <w:rPr>
          <w:rFonts w:ascii="Arial" w:cs="Arial" w:eastAsia="Arial" w:hAnsi="Arial"/>
          <w:b w:val="1"/>
          <w:bCs w:val="1"/>
          <w:rtl w:val="0"/>
        </w:rPr>
        <w:tab/>
      </w:r>
      <w:r>
        <w:rPr>
          <w:rFonts w:ascii="Arial" w:cs="Arial" w:eastAsia="Arial" w:hAnsi="Arial"/>
          <w:i w:val="1"/>
          <w:iCs w:val="1"/>
          <w:sz w:val="17"/>
          <w:szCs w:val="17"/>
          <w:rtl w:val="0"/>
        </w:rPr>
        <w:t xml:space="preserve">Aug 2026 – Present</w:t>
      </w:r>
      <w:r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10080"/>
        </w:tabs>
        <w:spacing w:after="40" w:lineRule="auto"/>
        <w:rPr>
          <w:rFonts w:ascii="Arial" w:cs="Arial" w:eastAsia="Arial" w:hAnsi="Arial"/>
          <w:i w:val="1"/>
          <w:iCs w:val="1"/>
          <w:sz w:val="16"/>
          <w:szCs w:val="16"/>
        </w:rPr>
      </w:pPr>
      <w:r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Fractional CPO, CTO, CMO and GM engagements, management transformation, and organizational AI enablement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60" w:lineRule="auto"/>
        <w:ind w:left="400" w:right="0" w:hanging="220"/>
        <w:jc w:val="left"/>
        <w:rPr>
          <w:sz w:val="16"/>
          <w:szCs w:val="16"/>
        </w:rPr>
      </w:pPr>
      <w:r>
        <w:rPr>
          <w:rFonts w:ascii="Arial" w:cs="Arial" w:eastAsia="Arial" w:hAnsi="Arial"/>
          <w:sz w:val="17"/>
          <w:szCs w:val="17"/>
          <w:rtl w:val="0"/>
        </w:rPr>
        <w:t xml:space="preserve">Founded a fractional executive firm that places CPO, CTO, CMO and GM leaders into companies on a project or retainer basis with full accountability for the function's outcomes and a documented handoff to the full-time hire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60" w:lineRule="auto"/>
        <w:ind w:left="400" w:right="0" w:hanging="220"/>
        <w:jc w:val="left"/>
        <w:rPr>
          <w:sz w:val="16"/>
          <w:szCs w:val="16"/>
        </w:rPr>
      </w:pPr>
      <w:r>
        <w:rPr>
          <w:rFonts w:ascii="Arial" w:cs="Arial" w:eastAsia="Arial" w:hAnsi="Arial"/>
          <w:sz w:val="17"/>
          <w:szCs w:val="17"/>
          <w:rtl w:val="0"/>
        </w:rPr>
        <w:t xml:space="preserve">Built FluentOrg, the AI enablement platform: 28 role-based modules across 13 business functions, 18 graded exams, three certification levels, and a cross-functional handoff contract so each team's output is consumable by the next team's AI</w:t>
      </w:r>
      <w:r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10080"/>
        </w:tabs>
        <w:spacing w:after="30" w:before="140" w:lineRule="auto"/>
        <w:rPr/>
      </w:pPr>
      <w:r>
        <w:rPr>
          <w:rFonts w:ascii="Arial" w:cs="Arial" w:eastAsia="Arial" w:hAnsi="Arial"/>
          <w:b w:val="1"/>
          <w:bCs w:val="1"/>
          <w:rtl w:val="0"/>
        </w:rPr>
        <w:t xml:space="preserve">ActiveState</w:t>
      </w:r>
      <w:r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, </w:t>
      </w:r>
      <w:r>
        <w:rPr>
          <w:rFonts w:ascii="Arial" w:cs="Arial" w:eastAsia="Arial" w:hAnsi="Arial"/>
          <w:i w:val="1"/>
          <w:iCs w:val="1"/>
          <w:rtl w:val="0"/>
        </w:rPr>
        <w:t xml:space="preserve">Chief Product &amp; Technology Officer</w:t>
      </w:r>
      <w:r>
        <w:rPr>
          <w:rFonts w:ascii="Arial" w:cs="Arial" w:eastAsia="Arial" w:hAnsi="Arial"/>
          <w:sz w:val="18"/>
          <w:szCs w:val="18"/>
          <w:rtl w:val="0"/>
        </w:rPr>
        <w:tab/>
      </w:r>
      <w:r>
        <w:rPr>
          <w:rFonts w:ascii="Arial" w:cs="Arial" w:eastAsia="Arial" w:hAnsi="Arial"/>
          <w:i w:val="1"/>
          <w:iCs w:val="1"/>
          <w:sz w:val="17"/>
          <w:szCs w:val="17"/>
          <w:rtl w:val="0"/>
        </w:rPr>
        <w:t xml:space="preserve">Jul 2025 – Present</w:t>
      </w:r>
      <w:r>
        <w:rPr>
          <w:rtl w:val="0"/>
        </w:rPr>
      </w:r>
    </w:p>
    <w:p w:rsidR="00000000" w:rsidDel="00000000" w:rsidP="00000000" w:rsidRDefault="00000000" w:rsidRPr="00000000" w14:paraId="00000010">
      <w:pPr>
        <w:spacing w:after="30" w:lineRule="auto"/>
        <w:rPr/>
      </w:pPr>
      <w:r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Enterprise open-source runtime management &amp; software supply chain security</w:t>
      </w:r>
      <w:r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30" w:before="30" w:line="260" w:lineRule="auto"/>
        <w:ind w:left="400" w:hanging="220"/>
        <w:rPr>
          <w:sz w:val="16"/>
          <w:szCs w:val="16"/>
        </w:rPr>
      </w:pPr>
      <w:r>
        <w:rPr>
          <w:rFonts w:ascii="Arial" w:cs="Arial" w:eastAsia="Arial" w:hAnsi="Arial"/>
          <w:sz w:val="17"/>
          <w:szCs w:val="17"/>
          <w:rtl w:val="0"/>
        </w:rPr>
        <w:t xml:space="preserve">Restructured the product and engineering team into a high-performing AI organization enabling a 65% increase in product development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30" w:before="30" w:line="260" w:lineRule="auto"/>
        <w:ind w:left="400" w:hanging="220"/>
        <w:rPr>
          <w:sz w:val="16"/>
          <w:szCs w:val="16"/>
        </w:rPr>
      </w:pPr>
      <w:r>
        <w:rPr>
          <w:rFonts w:ascii="Arial" w:cs="Arial" w:eastAsia="Arial" w:hAnsi="Arial"/>
          <w:sz w:val="17"/>
          <w:szCs w:val="17"/>
          <w:rtl w:val="0"/>
        </w:rPr>
        <w:t xml:space="preserve">Rebuilt Gartner analyst narrative around SBOM integrity, runtime lifecycle, and supply chain risk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30" w:before="30" w:line="260" w:lineRule="auto"/>
        <w:ind w:left="400" w:hanging="220"/>
        <w:rPr>
          <w:sz w:val="16"/>
          <w:szCs w:val="16"/>
        </w:rPr>
      </w:pPr>
      <w:r>
        <w:rPr>
          <w:rFonts w:ascii="Arial" w:cs="Arial" w:eastAsia="Arial" w:hAnsi="Arial"/>
          <w:sz w:val="17"/>
          <w:szCs w:val="17"/>
          <w:rtl w:val="0"/>
        </w:rPr>
        <w:t xml:space="preserve">Drove AI strategy: MCP architecture, Slack-integrated engineering intake, and AI-assisted product management and coding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30" w:before="30" w:line="260" w:lineRule="auto"/>
        <w:ind w:left="400" w:hanging="220"/>
        <w:rPr>
          <w:sz w:val="16"/>
          <w:szCs w:val="16"/>
        </w:rPr>
      </w:pPr>
      <w:r>
        <w:rPr>
          <w:rFonts w:ascii="Arial" w:cs="Arial" w:eastAsia="Arial" w:hAnsi="Arial"/>
          <w:sz w:val="17"/>
          <w:szCs w:val="17"/>
          <w:rtl w:val="0"/>
        </w:rPr>
        <w:t xml:space="preserve">Led acceleration of the roadmap, reducing time to market by 85%, delivering the company's first new production-ready products</w:t>
      </w:r>
    </w:p>
    <w:p w:rsidR="00000000" w:rsidDel="00000000" w:rsidP="00000000" w:rsidRDefault="00000000" w:rsidRPr="00000000" w14:paraId="00000015">
      <w:pPr>
        <w:widowControl w:val="0"/>
        <w:tabs>
          <w:tab w:val="right" w:leader="none" w:pos="10080"/>
        </w:tabs>
        <w:spacing w:before="140" w:lineRule="auto"/>
        <w:rPr>
          <w:rFonts w:ascii="Arial" w:cs="Arial" w:eastAsia="Arial" w:hAnsi="Arial"/>
          <w:b w:val="1"/>
          <w:bCs w:val="1"/>
          <w:sz w:val="4"/>
          <w:szCs w:val="4"/>
        </w:rPr>
      </w:pPr>
      <w:r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10080"/>
        </w:tabs>
        <w:spacing w:after="30" w:before="140" w:lineRule="auto"/>
        <w:rPr/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Trellix, </w:t>
      </w:r>
      <w:r>
        <w:rPr>
          <w:rFonts w:ascii="Arial" w:cs="Arial" w:eastAsia="Arial" w:hAnsi="Arial"/>
          <w:i w:val="1"/>
          <w:iCs w:val="1"/>
          <w:rtl w:val="0"/>
        </w:rPr>
        <w:t xml:space="preserve">VP, XDR Product Management</w:t>
      </w:r>
      <w:r>
        <w:rPr>
          <w:rFonts w:ascii="Arial" w:cs="Arial" w:eastAsia="Arial" w:hAnsi="Arial"/>
          <w:sz w:val="18"/>
          <w:szCs w:val="18"/>
          <w:rtl w:val="0"/>
        </w:rPr>
        <w:tab/>
      </w:r>
      <w:r>
        <w:rPr>
          <w:rFonts w:ascii="Arial" w:cs="Arial" w:eastAsia="Arial" w:hAnsi="Arial"/>
          <w:i w:val="1"/>
          <w:iCs w:val="1"/>
          <w:sz w:val="17"/>
          <w:szCs w:val="17"/>
          <w:rtl w:val="0"/>
        </w:rPr>
        <w:t xml:space="preserve">Sep 2024 – Jul 2025</w:t>
      </w:r>
      <w:r>
        <w:rPr>
          <w:rtl w:val="0"/>
        </w:rPr>
      </w:r>
    </w:p>
    <w:p w:rsidR="00000000" w:rsidDel="00000000" w:rsidP="00000000" w:rsidRDefault="00000000" w:rsidRPr="00000000" w14:paraId="00000017">
      <w:pPr>
        <w:spacing w:after="30" w:lineRule="auto"/>
        <w:rPr/>
      </w:pPr>
      <w:r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Portfolio: Endpoint Protection, EDR (SaaS/on-prem/air-gapped), Cloud Workload Security, ePO, XDR, Policy Auditor</w:t>
      </w:r>
      <w:r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before="30" w:line="260" w:lineRule="auto"/>
        <w:ind w:left="400" w:hanging="220"/>
        <w:rPr>
          <w:sz w:val="16"/>
          <w:szCs w:val="16"/>
        </w:rPr>
      </w:pPr>
      <w:r>
        <w:rPr>
          <w:rFonts w:ascii="Arial" w:cs="Arial" w:eastAsia="Arial" w:hAnsi="Arial"/>
          <w:sz w:val="17"/>
          <w:szCs w:val="17"/>
          <w:rtl w:val="0"/>
        </w:rPr>
        <w:t xml:space="preserve">Defined forward XDR roadmap that unified fragmented FireEye/McAfee endpoint lines into a coherent strategy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before="30" w:line="260" w:lineRule="auto"/>
        <w:ind w:left="400" w:hanging="220"/>
        <w:rPr>
          <w:sz w:val="16"/>
          <w:szCs w:val="16"/>
        </w:rPr>
      </w:pPr>
      <w:r>
        <w:rPr>
          <w:rFonts w:ascii="Arial" w:cs="Arial" w:eastAsia="Arial" w:hAnsi="Arial"/>
          <w:sz w:val="17"/>
          <w:szCs w:val="17"/>
          <w:rtl w:val="0"/>
        </w:rPr>
        <w:t xml:space="preserve">Launched the AI-native analyst within the endpoint portfolio that reduced analyst investigation times from hours to minutes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before="30" w:line="260" w:lineRule="auto"/>
        <w:ind w:left="400" w:hanging="220"/>
        <w:rPr>
          <w:sz w:val="16"/>
          <w:szCs w:val="16"/>
        </w:rPr>
      </w:pPr>
      <w:r>
        <w:rPr>
          <w:rFonts w:ascii="Arial" w:cs="Arial" w:eastAsia="Arial" w:hAnsi="Arial"/>
          <w:sz w:val="17"/>
          <w:szCs w:val="17"/>
          <w:rtl w:val="0"/>
        </w:rPr>
        <w:t xml:space="preserve">Worked closely with analysts to transform Trellix's position from lagging to thought leader in the space</w:t>
      </w:r>
    </w:p>
    <w:p w:rsidR="00000000" w:rsidDel="00000000" w:rsidP="00000000" w:rsidRDefault="00000000" w:rsidRPr="00000000" w14:paraId="0000001B">
      <w:pPr>
        <w:tabs>
          <w:tab w:val="right" w:leader="none" w:pos="10080"/>
        </w:tabs>
        <w:spacing w:before="140" w:lineRule="auto"/>
        <w:rPr>
          <w:rFonts w:ascii="Arial" w:cs="Arial" w:eastAsia="Arial" w:hAnsi="Arial"/>
          <w:b w:val="1"/>
          <w:bCs w:val="1"/>
          <w:sz w:val="4"/>
          <w:szCs w:val="4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10080"/>
        </w:tabs>
        <w:spacing w:after="30" w:before="140" w:lineRule="auto"/>
        <w:rPr/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Malwarebytes, </w:t>
      </w:r>
      <w:r>
        <w:rPr>
          <w:rFonts w:ascii="Arial" w:cs="Arial" w:eastAsia="Arial" w:hAnsi="Arial"/>
          <w:b w:val="1"/>
          <w:bCs w:val="1"/>
          <w:rtl w:val="0"/>
        </w:rPr>
        <w:t xml:space="preserve">VP, Products &amp; Managed Services</w:t>
      </w:r>
      <w:r>
        <w:rPr>
          <w:rFonts w:ascii="Arial" w:cs="Arial" w:eastAsia="Arial" w:hAnsi="Arial"/>
          <w:sz w:val="18"/>
          <w:szCs w:val="18"/>
          <w:rtl w:val="0"/>
        </w:rPr>
        <w:tab/>
      </w:r>
      <w:r>
        <w:rPr>
          <w:rFonts w:ascii="Arial" w:cs="Arial" w:eastAsia="Arial" w:hAnsi="Arial"/>
          <w:i w:val="1"/>
          <w:iCs w:val="1"/>
          <w:sz w:val="17"/>
          <w:szCs w:val="17"/>
          <w:rtl w:val="0"/>
        </w:rPr>
        <w:t xml:space="preserve">Jul 2021 – Sep 2024</w:t>
      </w:r>
      <w:r>
        <w:rPr>
          <w:rtl w:val="0"/>
        </w:rPr>
      </w:r>
    </w:p>
    <w:p w:rsidR="00000000" w:rsidDel="00000000" w:rsidP="00000000" w:rsidRDefault="00000000" w:rsidRPr="00000000" w14:paraId="0000001D">
      <w:pPr>
        <w:spacing w:after="30" w:lineRule="auto"/>
        <w:rPr/>
      </w:pPr>
      <w:r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P&amp;L ownership; built MDR business from concept to profitability</w:t>
      </w:r>
      <w:r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before="30" w:line="260" w:lineRule="auto"/>
        <w:ind w:left="400" w:hanging="220"/>
        <w:rPr>
          <w:sz w:val="16"/>
          <w:szCs w:val="16"/>
        </w:rPr>
      </w:pPr>
      <w:r>
        <w:rPr>
          <w:rFonts w:ascii="Arial" w:cs="Arial" w:eastAsia="Arial" w:hAnsi="Arial"/>
          <w:sz w:val="17"/>
          <w:szCs w:val="17"/>
          <w:rtl w:val="0"/>
        </w:rPr>
        <w:t xml:space="preserve">Refocused portfolio from multi-segment sprawl to disciplined SMB strategy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before="30" w:line="260" w:lineRule="auto"/>
        <w:ind w:left="400" w:hanging="220"/>
        <w:rPr>
          <w:sz w:val="16"/>
          <w:szCs w:val="16"/>
        </w:rPr>
      </w:pPr>
      <w:r>
        <w:rPr>
          <w:rFonts w:ascii="Arial" w:cs="Arial" w:eastAsia="Arial" w:hAnsi="Arial"/>
          <w:sz w:val="17"/>
          <w:szCs w:val="17"/>
          <w:rtl w:val="0"/>
        </w:rPr>
        <w:t xml:space="preserve">Improved unit economics by 60% to margins over 90%, built on a global enablement model that certified 250 sellers and put delivery in partner hands through Pax8 and the MSP channel rather than growing services headcount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before="30" w:line="260" w:lineRule="auto"/>
        <w:ind w:left="400" w:hanging="220"/>
        <w:rPr>
          <w:sz w:val="16"/>
          <w:szCs w:val="16"/>
        </w:rPr>
      </w:pPr>
      <w:r>
        <w:rPr>
          <w:rFonts w:ascii="Arial" w:cs="Arial" w:eastAsia="Arial" w:hAnsi="Arial"/>
          <w:sz w:val="17"/>
          <w:szCs w:val="17"/>
          <w:rtl w:val="0"/>
        </w:rPr>
        <w:t xml:space="preserve">Improved EBITDA, and lifted customer retention from ~60% to &gt;90%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before="30" w:line="260" w:lineRule="auto"/>
        <w:ind w:left="400" w:hanging="220"/>
        <w:rPr>
          <w:sz w:val="16"/>
          <w:szCs w:val="16"/>
        </w:rPr>
      </w:pPr>
      <w:r>
        <w:rPr>
          <w:rFonts w:ascii="Arial" w:cs="Arial" w:eastAsia="Arial" w:hAnsi="Arial"/>
          <w:sz w:val="17"/>
          <w:szCs w:val="17"/>
          <w:rtl w:val="0"/>
        </w:rPr>
        <w:t xml:space="preserve">Reduced time-to-market from years to months through reformed product management and engineering processes</w:t>
      </w:r>
    </w:p>
    <w:p w:rsidR="00000000" w:rsidDel="00000000" w:rsidP="00000000" w:rsidRDefault="00000000" w:rsidRPr="00000000" w14:paraId="00000022">
      <w:pPr>
        <w:tabs>
          <w:tab w:val="right" w:leader="none" w:pos="10080"/>
        </w:tabs>
        <w:spacing w:after="30" w:before="140" w:lineRule="auto"/>
        <w:rPr>
          <w:rFonts w:ascii="Arial" w:cs="Arial" w:eastAsia="Arial" w:hAnsi="Arial"/>
          <w:b w:val="1"/>
          <w:bCs w:val="1"/>
          <w:sz w:val="4"/>
          <w:szCs w:val="4"/>
        </w:rPr>
      </w:pPr>
      <w:r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10080"/>
        </w:tabs>
        <w:spacing w:after="30" w:before="140" w:lineRule="auto"/>
        <w:rPr/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Symantec / NortonLifeLock, Director, </w:t>
      </w:r>
      <w:r>
        <w:rPr>
          <w:rFonts w:ascii="Arial" w:cs="Arial" w:eastAsia="Arial" w:hAnsi="Arial"/>
          <w:b w:val="1"/>
          <w:bCs w:val="1"/>
          <w:rtl w:val="0"/>
        </w:rPr>
        <w:t xml:space="preserve">Product and Services PM</w:t>
      </w:r>
      <w:r>
        <w:rPr>
          <w:rFonts w:ascii="Arial" w:cs="Arial" w:eastAsia="Arial" w:hAnsi="Arial"/>
          <w:sz w:val="18"/>
          <w:szCs w:val="18"/>
          <w:rtl w:val="0"/>
        </w:rPr>
        <w:tab/>
        <w:t xml:space="preserve"/>
      </w:r>
      <w:r>
        <w:rPr>
          <w:rFonts w:ascii="Arial" w:cs="Arial" w:eastAsia="Arial" w:hAnsi="Arial"/>
          <w:i w:val="1"/>
          <w:iCs w:val="1"/>
          <w:sz w:val="17"/>
          <w:szCs w:val="17"/>
          <w:rtl w:val="0"/>
        </w:rPr>
        <w:t xml:space="preserve">Oct 2015 – Jun 2021</w:t>
      </w:r>
      <w:r>
        <w:rPr>
          <w:rtl w:val="0"/>
        </w:rPr>
      </w:r>
    </w:p>
    <w:p w:rsidR="00000000" w:rsidDel="00000000" w:rsidP="00000000" w:rsidRDefault="00000000" w:rsidRPr="00000000" w14:paraId="00000024">
      <w:pPr>
        <w:spacing w:after="30" w:lineRule="auto"/>
        <w:rPr/>
      </w:pPr>
      <w:r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EDR, Network Forensics, Cyber Insurance, Safe Search, Norton for Gamers</w:t>
      </w:r>
      <w:r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30" w:before="30" w:line="260" w:lineRule="auto"/>
        <w:ind w:left="400" w:hanging="220"/>
        <w:rPr>
          <w:sz w:val="16"/>
          <w:szCs w:val="16"/>
        </w:rPr>
      </w:pPr>
      <w:r>
        <w:rPr>
          <w:rFonts w:ascii="Arial" w:cs="Arial" w:eastAsia="Arial" w:hAnsi="Arial"/>
          <w:sz w:val="17"/>
          <w:szCs w:val="17"/>
          <w:rtl w:val="0"/>
        </w:rPr>
        <w:t xml:space="preserve">Launched 12 managed services and products generating $500M+ at ~12% YoY growth. Business acquired by Broadcom/Accenture.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30" w:before="30" w:line="260" w:lineRule="auto"/>
        <w:ind w:left="400" w:hanging="220"/>
        <w:rPr>
          <w:sz w:val="16"/>
          <w:szCs w:val="16"/>
        </w:rPr>
      </w:pPr>
      <w:r>
        <w:rPr>
          <w:rFonts w:ascii="Arial" w:cs="Arial" w:eastAsia="Arial" w:hAnsi="Arial"/>
          <w:sz w:val="17"/>
          <w:szCs w:val="17"/>
          <w:rtl w:val="0"/>
        </w:rPr>
        <w:t xml:space="preserve">Built the global enablement model behind every one of those launches, certifying 100 sellers worldwide and standing up delivery capability with GSI partners including Accenture and PwC</w:t>
      </w:r>
    </w:p>
    <w:p w:rsidR="00000000" w:rsidDel="00000000" w:rsidP="00000000" w:rsidRDefault="00000000" w:rsidRPr="00000000" w14:paraId="00000027">
      <w:pPr>
        <w:tabs>
          <w:tab w:val="right" w:leader="none" w:pos="10080"/>
        </w:tabs>
        <w:spacing w:after="20" w:before="2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10080"/>
        </w:tabs>
        <w:spacing w:after="20" w:before="20" w:lineRule="auto"/>
        <w:rPr>
          <w:sz w:val="16"/>
          <w:szCs w:val="16"/>
        </w:rPr>
      </w:pPr>
      <w:r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Symantec, </w:t>
      </w:r>
      <w:r>
        <w:rPr>
          <w:rFonts w:ascii="Arial" w:cs="Arial" w:eastAsia="Arial" w:hAnsi="Arial"/>
          <w:color w:val="111111"/>
          <w:sz w:val="16"/>
          <w:szCs w:val="16"/>
          <w:rtl w:val="0"/>
        </w:rPr>
        <w:t xml:space="preserve">Field CTO</w:t>
      </w:r>
      <w:r>
        <w:rPr>
          <w:rFonts w:ascii="Arial" w:cs="Arial" w:eastAsia="Arial" w:hAnsi="Arial"/>
          <w:sz w:val="16"/>
          <w:szCs w:val="16"/>
          <w:rtl w:val="0"/>
        </w:rPr>
        <w:tab/>
      </w:r>
      <w:r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Jan 2011 – Oct 2015</w:t>
      </w:r>
      <w:r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right" w:leader="none" w:pos="10080"/>
        </w:tabs>
        <w:spacing w:after="20" w:before="20" w:lineRule="auto"/>
        <w:rPr>
          <w:rFonts w:ascii="Arial" w:cs="Arial" w:eastAsia="Arial" w:hAnsi="Arial"/>
          <w:b w:val="1"/>
          <w:bCs w:val="1"/>
          <w:color w:val="111111"/>
          <w:sz w:val="2"/>
          <w:szCs w:val="2"/>
        </w:rPr>
      </w:pPr>
      <w:r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10080"/>
        </w:tabs>
        <w:spacing w:after="20" w:before="20" w:lineRule="auto"/>
        <w:rPr>
          <w:rFonts w:ascii="Arial" w:cs="Arial" w:eastAsia="Arial" w:hAnsi="Arial"/>
          <w:i w:val="1"/>
          <w:iCs w:val="1"/>
          <w:color w:val="111111"/>
          <w:sz w:val="16"/>
          <w:szCs w:val="16"/>
        </w:rPr>
      </w:pPr>
      <w:r>
        <w:rPr>
          <w:rFonts w:ascii="Arial" w:cs="Arial" w:eastAsia="Arial" w:hAnsi="Arial"/>
          <w:b w:val="1"/>
          <w:bCs w:val="1"/>
          <w:color w:val="111111"/>
          <w:sz w:val="16"/>
          <w:szCs w:val="16"/>
          <w:rtl w:val="0"/>
        </w:rPr>
        <w:t xml:space="preserve">Wellington Management Company &amp; Trust Bank, </w:t>
      </w:r>
      <w:r>
        <w:rPr>
          <w:rFonts w:ascii="Arial" w:cs="Arial" w:eastAsia="Arial" w:hAnsi="Arial"/>
          <w:color w:val="111111"/>
          <w:sz w:val="16"/>
          <w:szCs w:val="16"/>
          <w:rtl w:val="0"/>
        </w:rPr>
        <w:t xml:space="preserve">VP &amp; CISO</w:t>
      </w:r>
      <w:r>
        <w:rPr>
          <w:rFonts w:ascii="Arial" w:cs="Arial" w:eastAsia="Arial" w:hAnsi="Arial"/>
          <w:b w:val="1"/>
          <w:bCs w:val="1"/>
          <w:color w:val="111111"/>
          <w:sz w:val="16"/>
          <w:szCs w:val="16"/>
          <w:rtl w:val="0"/>
        </w:rPr>
        <w:tab/>
      </w:r>
      <w:r>
        <w:rPr>
          <w:rFonts w:ascii="Arial" w:cs="Arial" w:eastAsia="Arial" w:hAnsi="Arial"/>
          <w:i w:val="1"/>
          <w:iCs w:val="1"/>
          <w:color w:val="111111"/>
          <w:sz w:val="16"/>
          <w:szCs w:val="16"/>
          <w:rtl w:val="0"/>
        </w:rPr>
        <w:t xml:space="preserve">Oct 2003 – Jan 2011</w:t>
      </w:r>
    </w:p>
    <w:p w:rsidR="00000000" w:rsidDel="00000000" w:rsidP="00000000" w:rsidRDefault="00000000" w:rsidRPr="00000000" w14:paraId="0000002B">
      <w:pPr>
        <w:tabs>
          <w:tab w:val="right" w:leader="none" w:pos="10080"/>
        </w:tabs>
        <w:spacing w:after="20" w:before="20" w:lineRule="auto"/>
        <w:rPr>
          <w:rFonts w:ascii="Arial" w:cs="Arial" w:eastAsia="Arial" w:hAnsi="Arial"/>
          <w:b w:val="1"/>
          <w:bCs w:val="1"/>
          <w:color w:val="111111"/>
          <w:sz w:val="2"/>
          <w:szCs w:val="2"/>
        </w:rPr>
      </w:pPr>
      <w:r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right" w:leader="none" w:pos="10080"/>
        </w:tabs>
        <w:spacing w:after="20" w:before="20" w:lineRule="auto"/>
        <w:rPr>
          <w:rFonts w:ascii="Arial" w:cs="Arial" w:eastAsia="Arial" w:hAnsi="Arial"/>
          <w:b w:val="1"/>
          <w:bCs w:val="1"/>
          <w:color w:val="1b4f72"/>
          <w:sz w:val="16"/>
          <w:szCs w:val="16"/>
        </w:rPr>
      </w:pPr>
      <w:r>
        <w:rPr>
          <w:rFonts w:ascii="Arial" w:cs="Arial" w:eastAsia="Arial" w:hAnsi="Arial"/>
          <w:b w:val="1"/>
          <w:bCs w:val="1"/>
          <w:color w:val="111111"/>
          <w:sz w:val="16"/>
          <w:szCs w:val="16"/>
          <w:rtl w:val="0"/>
        </w:rPr>
        <w:t xml:space="preserve">Burntsand, </w:t>
      </w:r>
      <w:r>
        <w:rPr>
          <w:rFonts w:ascii="Arial" w:cs="Arial" w:eastAsia="Arial" w:hAnsi="Arial"/>
          <w:color w:val="111111"/>
          <w:sz w:val="16"/>
          <w:szCs w:val="16"/>
          <w:rtl w:val="0"/>
        </w:rPr>
        <w:t xml:space="preserve">Security Solutions Director</w:t>
        <w:tab/>
        <w:t xml:space="preserve"/>
      </w:r>
      <w:r>
        <w:rPr>
          <w:rFonts w:ascii="Arial" w:cs="Arial" w:eastAsia="Arial" w:hAnsi="Arial"/>
          <w:i w:val="1"/>
          <w:iCs w:val="1"/>
          <w:color w:val="111111"/>
          <w:sz w:val="16"/>
          <w:szCs w:val="16"/>
          <w:rtl w:val="0"/>
        </w:rPr>
        <w:t xml:space="preserve">Sep 1999 – Oct 2003</w:t>
      </w:r>
      <w:r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2e86c1" w:space="2" w:sz="6" w:val="single"/>
        </w:pBdr>
        <w:spacing w:after="40" w:before="160" w:lineRule="auto"/>
        <w:rPr/>
      </w:pPr>
      <w:r>
        <w:rPr>
          <w:rFonts w:ascii="Arial" w:cs="Arial" w:eastAsia="Arial" w:hAnsi="Arial"/>
          <w:b w:val="1"/>
          <w:bCs w:val="1"/>
          <w:color w:val="1b4f72"/>
          <w:rtl w:val="0"/>
        </w:rPr>
        <w:t xml:space="preserve">EDUCATION &amp; CREDENTIALS</w:t>
      </w:r>
      <w:r>
        <w:rPr>
          <w:rtl w:val="0"/>
        </w:rPr>
      </w:r>
    </w:p>
    <w:p w:rsidR="00000000" w:rsidDel="00000000" w:rsidP="00000000" w:rsidRDefault="00000000" w:rsidRPr="00000000" w14:paraId="0000002E">
      <w:pPr>
        <w:spacing w:after="20" w:before="40" w:lineRule="auto"/>
        <w:rPr>
          <w:rFonts w:ascii="Arial" w:cs="Arial" w:eastAsia="Arial" w:hAnsi="Arial"/>
          <w:color w:val="111111"/>
          <w:sz w:val="16"/>
          <w:szCs w:val="16"/>
        </w:rPr>
      </w:pPr>
      <w:r>
        <w:rPr>
          <w:rFonts w:ascii="Arial" w:cs="Arial" w:eastAsia="Arial" w:hAnsi="Arial"/>
          <w:b w:val="1"/>
          <w:bCs w:val="1"/>
          <w:color w:val="111111"/>
          <w:sz w:val="16"/>
          <w:szCs w:val="16"/>
          <w:rtl w:val="0"/>
        </w:rPr>
        <w:t xml:space="preserve">B.S., University of Massachusetts,</w:t>
      </w:r>
      <w:r>
        <w:rPr>
          <w:rFonts w:ascii="Arial" w:cs="Arial" w:eastAsia="Arial" w:hAnsi="Arial"/>
          <w:color w:val="111111"/>
          <w:sz w:val="16"/>
          <w:szCs w:val="16"/>
          <w:rtl w:val="0"/>
        </w:rPr>
        <w:t xml:space="preserve"> 2004</w:t>
      </w:r>
    </w:p>
    <w:p w:rsidR="00000000" w:rsidDel="00000000" w:rsidP="00000000" w:rsidRDefault="00000000" w:rsidRPr="00000000" w14:paraId="0000002F">
      <w:pPr>
        <w:spacing w:after="20" w:before="40" w:lineRule="auto"/>
        <w:rPr>
          <w:rFonts w:ascii="Arial" w:cs="Arial" w:eastAsia="Arial" w:hAnsi="Arial"/>
          <w:color w:val="111111"/>
          <w:sz w:val="16"/>
          <w:szCs w:val="16"/>
        </w:rPr>
      </w:pPr>
      <w:r>
        <w:rPr>
          <w:rFonts w:ascii="Arial" w:cs="Arial" w:eastAsia="Arial" w:hAnsi="Arial"/>
          <w:b w:val="1"/>
          <w:bCs w:val="1"/>
          <w:color w:val="111111"/>
          <w:sz w:val="16"/>
          <w:szCs w:val="16"/>
          <w:rtl w:val="0"/>
        </w:rPr>
        <w:t xml:space="preserve">Patent:</w:t>
      </w:r>
      <w:r>
        <w:rPr>
          <w:rFonts w:ascii="Arial" w:cs="Arial" w:eastAsia="Arial" w:hAnsi="Arial"/>
          <w:b w:val="1"/>
          <w:bCs w:val="1"/>
          <w:color w:val="1b4f72"/>
          <w:sz w:val="16"/>
          <w:szCs w:val="16"/>
          <w:rtl w:val="0"/>
        </w:rPr>
        <w:t xml:space="preserve"> </w:t>
      </w:r>
      <w:r>
        <w:rPr>
          <w:rFonts w:ascii="Arial" w:cs="Arial" w:eastAsia="Arial" w:hAnsi="Arial"/>
          <w:color w:val="111111"/>
          <w:sz w:val="16"/>
          <w:szCs w:val="16"/>
          <w:rtl w:val="0"/>
        </w:rPr>
        <w:t xml:space="preserve">US 10,466,924, Systems and Methods for Generating Memory Images of Computing Devices</w:t>
      </w:r>
    </w:p>
    <w:sectPr>
      <w:footerReference r:id="rId6" w:type="default"/>
      <w:pgSz w:h="15840" w:w="12240" w:orient="portrait"/>
      <w:pgMar w:bottom="0" w:top="45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