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1F4E5F"/>
          <w:spacing w:val="26"/>
          <w:sz w:val="14"/>
          <w:szCs w:val="14"/>
        </w:rPr>
        <w:t xml:space="preserve">RESUME REVIEW, ROUND TWO   /   JONATHAN_RIVERA_RESUME_REVISED.PDF   /   11 SEPTEMBER 2026</w:t>
      </w:r>
    </w:p>
    <w:p>
      <w:pPr>
        <w:pStyle w:val="Heading1"/>
        <w:spacing w:after="160" w:before="60"/>
      </w:pPr>
      <w:r>
        <w:rPr>
          <w:rFonts w:ascii="Georgia" w:cs="Georgia" w:eastAsia="Georgia" w:hAnsi="Georgia"/>
          <w:b w:val="false"/>
          <w:bCs w:val="false"/>
          <w:i w:val="false"/>
          <w:iCs w:val="false"/>
          <w:caps w:val="false"/>
          <w:color w:val="15181F"/>
          <w:sz w:val="44"/>
          <w:szCs w:val="44"/>
        </w:rPr>
        <w:t xml:space="preserve">The Headcount Arrived, and It Disagrees With Itself</w:t>
      </w:r>
    </w:p>
    <w:p>
      <w:pPr>
        <w:spacing w:after="160" w:before="0" w:line="300"/>
      </w:pPr>
      <w:r>
        <w:rPr>
          <w:rFonts w:ascii="Calibri" w:cs="Calibri" w:eastAsia="Calibri" w:hAnsi="Calibri"/>
          <w:b w:val="false"/>
          <w:bCs w:val="false"/>
          <w:i w:val="false"/>
          <w:iCs w:val="false"/>
          <w:caps w:val="false"/>
          <w:color w:val="474D5C"/>
          <w:sz w:val="20"/>
          <w:szCs w:val="20"/>
        </w:rPr>
        <w:t xml:space="preserve">Jonny, eight of the nine items from the last round are closed, including both blocking ones. The headcount is on the page, the $200M claim is qualified, and the throughline is stated in the title bar where it belongs. The document went from 288 words to 525 and every added word is doing work. This is a materially different résumé and it clears bars the last one did not.</w:t>
      </w:r>
    </w:p>
    <w:p>
      <w:pPr>
        <w:spacing w:after="200" w:before="0" w:line="300"/>
      </w:pPr>
      <w:r>
        <w:rPr>
          <w:rFonts w:ascii="Calibri" w:cs="Calibri" w:eastAsia="Calibri" w:hAnsi="Calibri"/>
          <w:b w:val="false"/>
          <w:bCs w:val="false"/>
          <w:i w:val="false"/>
          <w:iCs w:val="false"/>
          <w:caps w:val="false"/>
          <w:color w:val="474D5C"/>
          <w:sz w:val="20"/>
          <w:szCs w:val="20"/>
        </w:rPr>
        <w:t xml:space="preserve">Two things bring this round into existence. First, the new headcount numbers contradict each other: the highlights claim organizations of 10 to 20+ people, and the ActiveState bullet says a team of 6. Second, and more consequential, the Malwarebytes number is phrased as a cross-functional team of 15, which does not say whether those fifteen reported to him. Nine of the sixteen roles in this search gate on years spent managing product people. That one word of ambiguity sits directly on the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Closed this round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4E5F"/>
                <w:sz w:val="17"/>
                <w:szCs w:val="17"/>
              </w:rPr>
              <w:t xml:space="preserve">8 of 9</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Still open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1</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New, blocking</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3F36"/>
                <w:sz w:val="17"/>
                <w:szCs w:val="17"/>
              </w:rPr>
              <w:t xml:space="preserve">2 items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Length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4E5F"/>
                <w:sz w:val="17"/>
                <w:szCs w:val="17"/>
              </w:rPr>
              <w:t xml:space="preserve">525 words, was 288</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Headcount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Now stated, but inconsistent</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Leadership tenure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3F36"/>
                <w:sz w:val="17"/>
                <w:szCs w:val="17"/>
              </w:rPr>
              <w:t xml:space="preserve">~5 years, if they were reports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Correction from me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3F36"/>
                <w:sz w:val="17"/>
                <w:szCs w:val="17"/>
              </w:rPr>
              <w:t xml:space="preserve">1, on his comp</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Roles after Tampa filter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A6A1E"/>
                <w:sz w:val="17"/>
                <w:szCs w:val="17"/>
              </w:rPr>
              <w:t xml:space="preserve">9 of 16</w:t>
            </w:r>
          </w:p>
        </w:tc>
      </w:tr>
    </w:tbl>
    <w:p>
      <w:pPr>
        <w:pBdr>
          <w:left w:val="single" w:color="D7DAE2" w:sz="10" w:space="14"/>
        </w:pBdr>
        <w:spacing w:after="160" w:before="200"/>
        <w:ind w:left="180"/>
      </w:pPr>
      <w:r>
        <w:rPr>
          <w:rFonts w:ascii="Calibri" w:cs="Calibri" w:eastAsia="Calibri" w:hAnsi="Calibri"/>
          <w:b w:val="false"/>
          <w:bCs w:val="false"/>
          <w:i/>
          <w:iCs/>
          <w:caps w:val="false"/>
          <w:color w:val="838A99"/>
          <w:sz w:val="18"/>
          <w:szCs w:val="18"/>
        </w:rPr>
        <w:t xml:space="preserve">The résumé is now good enough that the remaining problems are precision problems rather than substance problems. That is a much better place to be, and it is also why the small inconsistencies matter more than they used to. A careful reader who trusts the document will check its arithmetic.</w:t>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01  /  My error, not his</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A correction I owe him</w:t>
      </w:r>
    </w:p>
    <w:p>
      <w:pPr>
        <w:pStyle w:val="Heading2"/>
        <w:pBdr>
          <w:left w:val="single" w:color="A93F36" w:sz="18" w:space="10"/>
        </w:pBdr>
        <w:spacing w:after="60" w:before="300"/>
        <w:ind w:left="120"/>
      </w:pPr>
      <w:r>
        <w:rPr>
          <w:rFonts w:ascii="Consolas" w:cs="Consolas" w:eastAsia="Consolas" w:hAnsi="Consolas"/>
          <w:b/>
          <w:bCs/>
          <w:i w:val="false"/>
          <w:iCs w:val="false"/>
          <w:caps w:val="false"/>
          <w:color w:val="A93F36"/>
          <w:sz w:val="24"/>
          <w:szCs w:val="24"/>
        </w:rPr>
        <w:t xml:space="preserve">1.  </w:t>
      </w:r>
      <w:r>
        <w:rPr>
          <w:rFonts w:ascii="Georgia" w:cs="Georgia" w:eastAsia="Georgia" w:hAnsi="Georgia"/>
          <w:b w:val="false"/>
          <w:bCs w:val="false"/>
          <w:i w:val="false"/>
          <w:iCs w:val="false"/>
          <w:caps w:val="false"/>
          <w:color w:val="15181F"/>
          <w:sz w:val="24"/>
          <w:szCs w:val="24"/>
        </w:rPr>
        <w:t xml:space="preserve">I put him in California. He is in Tampa.</w:t>
      </w:r>
    </w:p>
    <w:p>
      <w:pPr>
        <w:pBdr>
          <w:left w:val="single" w:color="A93F36" w:sz="18" w:space="10"/>
        </w:pBdr>
        <w:spacing w:after="140"/>
        <w:ind w:left="120"/>
      </w:pPr>
      <w:r>
        <w:rPr>
          <w:rFonts w:ascii="Consolas" w:cs="Consolas" w:eastAsia="Consolas" w:hAnsi="Consolas"/>
          <w:b/>
          <w:bCs/>
          <w:i w:val="false"/>
          <w:iCs w:val="false"/>
          <w:caps w:val="false"/>
          <w:color w:val="A93F36"/>
          <w:spacing w:val="26"/>
          <w:sz w:val="13"/>
          <w:szCs w:val="13"/>
        </w:rPr>
        <w:t xml:space="preserve">CORRECTION</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LAST ROUND:  "because he is in California the higher band applies, which puts</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             this at $300,000 to $360,000 for him specifically"</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
      </w:r>
    </w:p>
    <w:p>
      <w:pPr>
        <w:pBdr>
          <w:left w:val="single" w:color="838A99"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THE RESUME:  Tampa, FL  |  Open to Remote (US)</w:t>
      </w:r>
    </w:p>
    <w:p>
      <w:pPr>
        <w:spacing w:after="140" w:before="0" w:line="300"/>
      </w:pPr>
      <w:r>
        <w:rPr>
          <w:rFonts w:ascii="Calibri" w:cs="Calibri" w:eastAsia="Calibri" w:hAnsi="Calibri"/>
          <w:b w:val="false"/>
          <w:bCs w:val="false"/>
          <w:i w:val="false"/>
          <w:iCs w:val="false"/>
          <w:caps w:val="false"/>
          <w:color w:val="474D5C"/>
          <w:sz w:val="20"/>
          <w:szCs w:val="20"/>
        </w:rPr>
        <w:t xml:space="preserve">I inferred California from the 661 area code, which covers Bakersfield and Santa Clarita. Cell numbers travel and mine was a guess dressed up as a fact. He is in Florida, and Affirm's published tiers put Florida in all other US states, not in the CA, WA, NY, NJ, CT band. That changes two numbers in the last document. The Director role is $267,000 to $327,000 for him, not $300,000 to $360,000. The Senior Director role is $350,750 to $391,000, not $391,000 to $431,250.</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Use the corrected figures. Worth noting in the other direction: Florida has no state income tax, so the headline gap between the tiers substantially overstates the real difference in take-home. The precise number depends on his filing situation and this is not tax advice, but directionally the California premium on these roles is mostly a cost-of-living and tax adjustment rather than a raise.</w:t>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02  /  Fix before sending</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Two new items, both blocking</w:t>
      </w:r>
    </w:p>
    <w:p>
      <w:pPr>
        <w:pStyle w:val="Heading2"/>
        <w:pBdr>
          <w:left w:val="single" w:color="A93F36" w:sz="18" w:space="10"/>
        </w:pBdr>
        <w:spacing w:after="60" w:before="300"/>
        <w:ind w:left="120"/>
      </w:pPr>
      <w:r>
        <w:rPr>
          <w:rFonts w:ascii="Consolas" w:cs="Consolas" w:eastAsia="Consolas" w:hAnsi="Consolas"/>
          <w:b/>
          <w:bCs/>
          <w:i w:val="false"/>
          <w:iCs w:val="false"/>
          <w:caps w:val="false"/>
          <w:color w:val="A93F36"/>
          <w:sz w:val="24"/>
          <w:szCs w:val="24"/>
        </w:rPr>
        <w:t xml:space="preserve">2.  </w:t>
      </w:r>
      <w:r>
        <w:rPr>
          <w:rFonts w:ascii="Georgia" w:cs="Georgia" w:eastAsia="Georgia" w:hAnsi="Georgia"/>
          <w:b w:val="false"/>
          <w:bCs w:val="false"/>
          <w:i w:val="false"/>
          <w:iCs w:val="false"/>
          <w:caps w:val="false"/>
          <w:color w:val="15181F"/>
          <w:sz w:val="24"/>
          <w:szCs w:val="24"/>
        </w:rPr>
        <w:t xml:space="preserve">The headcount range in the highlights contradicts the bullets</w:t>
      </w:r>
    </w:p>
    <w:p>
      <w:pPr>
        <w:pBdr>
          <w:left w:val="single" w:color="A93F36" w:sz="18" w:space="10"/>
        </w:pBdr>
        <w:spacing w:after="140"/>
        <w:ind w:left="120"/>
      </w:pPr>
      <w:r>
        <w:rPr>
          <w:rFonts w:ascii="Consolas" w:cs="Consolas" w:eastAsia="Consolas" w:hAnsi="Consolas"/>
          <w:b/>
          <w:bCs/>
          <w:i w:val="false"/>
          <w:iCs w:val="false"/>
          <w:caps w:val="false"/>
          <w:color w:val="A93F36"/>
          <w:spacing w:val="26"/>
          <w:sz w:val="13"/>
          <w:szCs w:val="13"/>
        </w:rPr>
        <w:t xml:space="preserve">BLOCKING</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HIGHLIGHTS:   ...organizations of 10–20+ people across three companies</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ACTIVESTATE:  ...(team of 6 across both functions)</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WELLSYNC:     ...(team of ~18 across all three functions)</w:t>
      </w:r>
    </w:p>
    <w:p>
      <w:pPr>
        <w:pBdr>
          <w:left w:val="single" w:color="838A99"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MALWAREBYTES: ...cross-functional team of 15</w:t>
      </w:r>
    </w:p>
    <w:p>
      <w:pPr>
        <w:spacing w:after="140" w:before="0" w:line="300"/>
      </w:pPr>
      <w:r>
        <w:rPr>
          <w:rFonts w:ascii="Calibri" w:cs="Calibri" w:eastAsia="Calibri" w:hAnsi="Calibri"/>
          <w:b w:val="false"/>
          <w:bCs w:val="false"/>
          <w:i w:val="false"/>
          <w:iCs w:val="false"/>
          <w:caps w:val="false"/>
          <w:color w:val="474D5C"/>
          <w:sz w:val="20"/>
          <w:szCs w:val="20"/>
        </w:rPr>
        <w:t xml:space="preserve">Six is not inside ten to twenty plus. The highlight is the first thing a reader sees and the bullets are the evidence underneath it, so the document disproves its own summary claim three lines later. This is structurally the same problem as the last round's extensive experience issue and Jeff's 15+ years claim: a number in the summary that the body contradicts. It costs more than the exaggeration gains, because it teaches the reader to verify everything else.</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Change the highlight to match the evidence. Teams of 6 to 18 across three companies is accurate, still impressive, and survives arithmetic. Alternatively state the largest honestly: led organizations of up to 18 across Product, UX and Product Operations.</w:t>
      </w:r>
    </w:p>
    <w:p>
      <w:pPr>
        <w:pStyle w:val="Heading2"/>
        <w:pBdr>
          <w:left w:val="single" w:color="A93F36" w:sz="18" w:space="10"/>
        </w:pBdr>
        <w:spacing w:after="60" w:before="300"/>
        <w:ind w:left="120"/>
      </w:pPr>
      <w:r>
        <w:rPr>
          <w:rFonts w:ascii="Consolas" w:cs="Consolas" w:eastAsia="Consolas" w:hAnsi="Consolas"/>
          <w:b/>
          <w:bCs/>
          <w:i w:val="false"/>
          <w:iCs w:val="false"/>
          <w:caps w:val="false"/>
          <w:color w:val="A93F36"/>
          <w:sz w:val="24"/>
          <w:szCs w:val="24"/>
        </w:rPr>
        <w:t xml:space="preserve">3.  </w:t>
      </w:r>
      <w:r>
        <w:rPr>
          <w:rFonts w:ascii="Georgia" w:cs="Georgia" w:eastAsia="Georgia" w:hAnsi="Georgia"/>
          <w:b w:val="false"/>
          <w:bCs w:val="false"/>
          <w:i w:val="false"/>
          <w:iCs w:val="false"/>
          <w:caps w:val="false"/>
          <w:color w:val="15181F"/>
          <w:sz w:val="24"/>
          <w:szCs w:val="24"/>
        </w:rPr>
        <w:t xml:space="preserve">Cross-functional team of 15 does not say who reported to him</w:t>
      </w:r>
    </w:p>
    <w:p>
      <w:pPr>
        <w:pBdr>
          <w:left w:val="single" w:color="A93F36" w:sz="18" w:space="10"/>
        </w:pBdr>
        <w:spacing w:after="140"/>
        <w:ind w:left="120"/>
      </w:pPr>
      <w:r>
        <w:rPr>
          <w:rFonts w:ascii="Consolas" w:cs="Consolas" w:eastAsia="Consolas" w:hAnsi="Consolas"/>
          <w:b/>
          <w:bCs/>
          <w:i w:val="false"/>
          <w:iCs w:val="false"/>
          <w:caps w:val="false"/>
          <w:color w:val="A93F36"/>
          <w:spacing w:val="26"/>
          <w:sz w:val="13"/>
          <w:szCs w:val="13"/>
        </w:rPr>
        <w:t xml:space="preserve">CONFIRM</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MALWAREBYTES:  ...led the product + cross-functional team of 15 responsible</w:t>
      </w:r>
    </w:p>
    <w:p>
      <w:pPr>
        <w:pBdr>
          <w:left w:val="single" w:color="838A99"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               for their strategy and growth</w:t>
      </w:r>
    </w:p>
    <w:p>
      <w:pPr>
        <w:spacing w:after="140" w:before="0" w:line="300"/>
      </w:pPr>
      <w:r>
        <w:rPr>
          <w:rFonts w:ascii="Calibri" w:cs="Calibri" w:eastAsia="Calibri" w:hAnsi="Calibri"/>
          <w:b w:val="false"/>
          <w:bCs w:val="false"/>
          <w:i w:val="false"/>
          <w:iCs w:val="false"/>
          <w:caps w:val="false"/>
          <w:color w:val="474D5C"/>
          <w:sz w:val="20"/>
          <w:szCs w:val="20"/>
        </w:rPr>
        <w:t xml:space="preserve">This is the single most important sentence on the résumé and it is the least precise one. A cross-functional team of 15 can mean fifteen direct reports, or it can mean he led a working group of fifteen people who mostly reported elsewhere. Screeners read the second meaning, because that is the conservative reading and because the other two bullets say team of 6 and team of ~18 without the cross-functional hedge, which implies the hedge is doing something.</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Say how many people reported to him, and separately how many he led without direct authority. Both numbers are worth having. If the answer is that few or none of the fifteen were direct reports, the bullet should say so and the target list changes, which is covered in section four.</w:t>
      </w:r>
    </w:p>
    <w:p>
      <w:pPr>
        <w:spacing w:after="160" w:before="100" w:line="300"/>
      </w:pPr>
      <w:r>
        <w:rPr>
          <w:rFonts w:ascii="Calibri" w:cs="Calibri" w:eastAsia="Calibri" w:hAnsi="Calibri"/>
          <w:b w:val="false"/>
          <w:bCs w:val="false"/>
          <w:i w:val="false"/>
          <w:iCs w:val="false"/>
          <w:caps w:val="false"/>
          <w:color w:val="474D5C"/>
          <w:sz w:val="20"/>
          <w:szCs w:val="20"/>
        </w:rPr>
        <w:t xml:space="preserve">Why this specific sentence carries so much weight. If the Malwarebytes fifteen were his reports, his people leadership runs 2021 to now, which is roughly five years, and that clears the stated minimum at Datadog, Coinbase and Vanta and comfortably clears the four year bar at Dragos and Blend. If they were not, his management tenure starts at Wellsync in 2024, which is about two years, and it fails every one of those postings. Same résumé, same person, and the entire target list pivots on how that one phrase is read.</w:t>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03  /  Still open</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One item carried from the last round</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4.  </w:t>
      </w:r>
      <w:r>
        <w:rPr>
          <w:rFonts w:ascii="Georgia" w:cs="Georgia" w:eastAsia="Georgia" w:hAnsi="Georgia"/>
          <w:b w:val="false"/>
          <w:bCs w:val="false"/>
          <w:i w:val="false"/>
          <w:iCs w:val="false"/>
          <w:caps w:val="false"/>
          <w:color w:val="15181F"/>
          <w:sz w:val="24"/>
          <w:szCs w:val="24"/>
        </w:rPr>
        <w:t xml:space="preserve">Still no months on any date</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CARRIED</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ActiveState    2025–Present</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Wellsync       2024–2025</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Malwarebytes   2021–2024</w:t>
      </w:r>
    </w:p>
    <w:p>
      <w:pPr>
        <w:pBdr>
          <w:left w:val="single" w:color="838A99"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MediaLab       2015–2021</w:t>
      </w:r>
    </w:p>
    <w:p>
      <w:pPr>
        <w:spacing w:after="140" w:before="0" w:line="300"/>
      </w:pPr>
      <w:r>
        <w:rPr>
          <w:rFonts w:ascii="Calibri" w:cs="Calibri" w:eastAsia="Calibri" w:hAnsi="Calibri"/>
          <w:b w:val="false"/>
          <w:bCs w:val="false"/>
          <w:i w:val="false"/>
          <w:iCs w:val="false"/>
          <w:caps w:val="false"/>
          <w:color w:val="474D5C"/>
          <w:sz w:val="20"/>
          <w:szCs w:val="20"/>
        </w:rPr>
        <w:t xml:space="preserve">This was item seven last round and it is untouched. It matters more now, not less, because the Wellsync bullet has been strengthened to claim a 0 to 1 platform reaching $200M+ in its first year, and the tenure as written reads as roughly one year. Both can be true. But a reader doing the arithmetic on a year-only date range cannot tell whether first year means twelve months of operation or four, and the stronger the claim, the more precisely a reader will want to date it.</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Add months to all four. If the Wellsync tenure was short, the months will show it, and the honest version of that bullet is still excellent. An undated strong claim invites more doubt than a dated one.</w:t>
      </w:r>
    </w:p>
    <w:p>
      <w:r>
        <w:br w:type="page"/>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04  /  Tighten</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Four items worth ten minutes</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5.  </w:t>
      </w:r>
      <w:r>
        <w:rPr>
          <w:rFonts w:ascii="Georgia" w:cs="Georgia" w:eastAsia="Georgia" w:hAnsi="Georgia"/>
          <w:b w:val="false"/>
          <w:bCs w:val="false"/>
          <w:i w:val="false"/>
          <w:iCs w:val="false"/>
          <w:caps w:val="false"/>
          <w:color w:val="15181F"/>
          <w:sz w:val="24"/>
          <w:szCs w:val="24"/>
        </w:rPr>
        <w:t xml:space="preserve">The $200M qualifier is defensive in a way that draws attention</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...generated $200M+ in actual annual revenue in its first year:</w:t>
      </w:r>
    </w:p>
    <w:p>
      <w:pPr>
        <w:pBdr>
          <w:left w:val="single" w:color="838A99"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actual revenue, not GMV or run-rate.</w:t>
      </w:r>
    </w:p>
    <w:p>
      <w:pPr>
        <w:spacing w:after="140" w:before="0" w:line="300"/>
      </w:pPr>
      <w:r>
        <w:rPr>
          <w:rFonts w:ascii="Calibri" w:cs="Calibri" w:eastAsia="Calibri" w:hAnsi="Calibri"/>
          <w:b w:val="false"/>
          <w:bCs w:val="false"/>
          <w:i w:val="false"/>
          <w:iCs w:val="false"/>
          <w:caps w:val="false"/>
          <w:color w:val="474D5C"/>
          <w:sz w:val="20"/>
          <w:szCs w:val="20"/>
        </w:rPr>
        <w:t xml:space="preserve">The instinct is exactly right and this is a real improvement over the unqualified version. The execution argues with an objection nobody has raised yet. Naming GMV and run-rate on the page tells the reader those were live possibilities, which plants the doubt the sentence is trying to remove. It also says actual twice in one sentence.</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Let one precise word carry it. Recognized annual revenue, or booked annual revenue, does the entire job without the disclaimer. Keep the rebuttal ready for the interview, where it will land well, and take it off the page.</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6.  </w:t>
      </w:r>
      <w:r>
        <w:rPr>
          <w:rFonts w:ascii="Georgia" w:cs="Georgia" w:eastAsia="Georgia" w:hAnsi="Georgia"/>
          <w:b w:val="false"/>
          <w:bCs w:val="false"/>
          <w:i w:val="false"/>
          <w:iCs w:val="false"/>
          <w:caps w:val="false"/>
          <w:color w:val="15181F"/>
          <w:sz w:val="24"/>
          <w:szCs w:val="24"/>
        </w:rPr>
        <w:t xml:space="preserve">A three times range is not a number</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838A99"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Owned SMB, Enterprise, and MSP portfolios (~$50M–$150M ARR)</w:t>
      </w:r>
    </w:p>
    <w:p>
      <w:pPr>
        <w:spacing w:after="140" w:before="0" w:line="300"/>
      </w:pPr>
      <w:r>
        <w:rPr>
          <w:rFonts w:ascii="Calibri" w:cs="Calibri" w:eastAsia="Calibri" w:hAnsi="Calibri"/>
          <w:b w:val="false"/>
          <w:bCs w:val="false"/>
          <w:i w:val="false"/>
          <w:iCs w:val="false"/>
          <w:caps w:val="false"/>
          <w:color w:val="474D5C"/>
          <w:sz w:val="20"/>
          <w:szCs w:val="20"/>
        </w:rPr>
        <w:t xml:space="preserve">Fifty to one hundred fifty million is a 3x spread, which reads as not knowing rather than as protecting confidential information. A reader cannot tell whether he ran a $50M business or a $150M one, and those are different jobs with different titles attached. It appears twice, in the highlight and the bullet.</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Narrow it or pick the defensible number. Approximately $100M ARR across three segments is a cleaner claim than a range he will be asked to explain. If the portfolio genuinely grew across that span during his tenure, say that instead, because growth from $50M to $150M is a far better sentence than either endpoint.</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7.  </w:t>
      </w:r>
      <w:r>
        <w:rPr>
          <w:rFonts w:ascii="Georgia" w:cs="Georgia" w:eastAsia="Georgia" w:hAnsi="Georgia"/>
          <w:b w:val="false"/>
          <w:bCs w:val="false"/>
          <w:i w:val="false"/>
          <w:iCs w:val="false"/>
          <w:caps w:val="false"/>
          <w:color w:val="15181F"/>
          <w:sz w:val="24"/>
          <w:szCs w:val="24"/>
        </w:rPr>
        <w:t xml:space="preserve">The arrow character may not survive an applicant tracking system</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838A99"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Platform Transitions &amp; 0→1 Product Leadership | B2B &amp; B2B2C SaaS</w:t>
      </w:r>
    </w:p>
    <w:p>
      <w:pPr>
        <w:spacing w:after="140" w:before="0" w:line="300"/>
      </w:pPr>
      <w:r>
        <w:rPr>
          <w:rFonts w:ascii="Calibri" w:cs="Calibri" w:eastAsia="Calibri" w:hAnsi="Calibri"/>
          <w:b w:val="false"/>
          <w:bCs w:val="false"/>
          <w:i w:val="false"/>
          <w:iCs w:val="false"/>
          <w:caps w:val="false"/>
          <w:color w:val="474D5C"/>
          <w:sz w:val="20"/>
          <w:szCs w:val="20"/>
        </w:rPr>
        <w:t xml:space="preserve">The arrow is Unicode U+2192 and it appears seven times, including in the title bar, which is among the first things a parser reads. Résumé parsers handle standard punctuation reliably and handle symbols inconsistently: some render it, some drop it, some substitute a placeholder glyph. The downside case is a headline that reads Platform Transitions &amp; 01 Product Leadership, and he will never know it happened.</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Use 0 to 1 in plain text everywhere. It reads identically to a human, it is what people say out loud, and it cannot be mangled. This is a two minute find and replace and it protects the single most important line on the page.</w:t>
      </w:r>
    </w:p>
    <w:p>
      <w:pPr>
        <w:pStyle w:val="Heading2"/>
        <w:pBdr>
          <w:left w:val="single" w:color="8A6A1E" w:sz="18" w:space="10"/>
        </w:pBdr>
        <w:spacing w:after="60" w:before="300"/>
        <w:ind w:left="120"/>
      </w:pPr>
      <w:r>
        <w:rPr>
          <w:rFonts w:ascii="Consolas" w:cs="Consolas" w:eastAsia="Consolas" w:hAnsi="Consolas"/>
          <w:b/>
          <w:bCs/>
          <w:i w:val="false"/>
          <w:iCs w:val="false"/>
          <w:caps w:val="false"/>
          <w:color w:val="8A6A1E"/>
          <w:sz w:val="24"/>
          <w:szCs w:val="24"/>
        </w:rPr>
        <w:t xml:space="preserve">8.  </w:t>
      </w:r>
      <w:r>
        <w:rPr>
          <w:rFonts w:ascii="Georgia" w:cs="Georgia" w:eastAsia="Georgia" w:hAnsi="Georgia"/>
          <w:b w:val="false"/>
          <w:bCs w:val="false"/>
          <w:i w:val="false"/>
          <w:iCs w:val="false"/>
          <w:caps w:val="false"/>
          <w:color w:val="15181F"/>
          <w:sz w:val="24"/>
          <w:szCs w:val="24"/>
        </w:rPr>
        <w:t xml:space="preserve">One missing period</w:t>
      </w:r>
    </w:p>
    <w:p>
      <w:pPr>
        <w:pBdr>
          <w:left w:val="single" w:color="8A6A1E" w:sz="18" w:space="10"/>
        </w:pBdr>
        <w:spacing w:after="140"/>
        <w:ind w:left="120"/>
      </w:pPr>
      <w:r>
        <w:rPr>
          <w:rFonts w:ascii="Consolas" w:cs="Consolas" w:eastAsia="Consolas" w:hAnsi="Consolas"/>
          <w:b/>
          <w:bCs/>
          <w:i w:val="false"/>
          <w:iCs w:val="false"/>
          <w:caps w:val="false"/>
          <w:color w:val="8A6A1E"/>
          <w:spacing w:val="26"/>
          <w:sz w:val="13"/>
          <w:szCs w:val="13"/>
        </w:rPr>
        <w:t xml:space="preserve">TIGHTEN</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838A99"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...let homebuilders showcase complex media, including 3D tours, renderings,</w:t>
      </w:r>
    </w:p>
    <w:p>
      <w:pPr>
        <w:pBdr>
          <w:left w:val="single" w:color="838A99"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and video, across channels</w:t>
      </w:r>
    </w:p>
    <w:p>
      <w:pPr>
        <w:spacing w:after="140" w:before="0" w:line="300"/>
      </w:pPr>
      <w:r>
        <w:rPr>
          <w:rFonts w:ascii="Calibri" w:cs="Calibri" w:eastAsia="Calibri" w:hAnsi="Calibri"/>
          <w:b w:val="false"/>
          <w:bCs w:val="false"/>
          <w:i w:val="false"/>
          <w:iCs w:val="false"/>
          <w:caps w:val="false"/>
          <w:color w:val="474D5C"/>
          <w:sz w:val="20"/>
          <w:szCs w:val="20"/>
        </w:rPr>
        <w:t xml:space="preserve">The last MediaLab bullet has no terminal period while every other bullet on the page does. Trivial on its own. Noted because the document is now careful enough that a single inconsistency stands out, which is the position he wants to be in.</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Add the period.</w:t>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05  /  Resolved</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Closed this round</w:t>
      </w:r>
    </w:p>
    <w:p>
      <w:pPr>
        <w:spacing w:after="160" w:before="0" w:line="300"/>
      </w:pPr>
      <w:r>
        <w:rPr>
          <w:rFonts w:ascii="Calibri" w:cs="Calibri" w:eastAsia="Calibri" w:hAnsi="Calibri"/>
          <w:b w:val="false"/>
          <w:bCs w:val="false"/>
          <w:i w:val="false"/>
          <w:iCs w:val="false"/>
          <w:caps w:val="false"/>
          <w:color w:val="474D5C"/>
          <w:sz w:val="20"/>
          <w:szCs w:val="20"/>
        </w:rPr>
        <w:t xml:space="preserve">Eight of nine. Recorded so none of it gets undone in a later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50"/>
        <w:gridCol w:w="3900"/>
        <w:gridCol w:w="3830"/>
      </w:tblGrid>
      <w:tr>
        <w:trPr>
          <w:tblHeader/>
        </w:trPr>
        <w:tc>
          <w:tcPr>
            <w:tcW w:type="dxa" w:w="235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Item</w:t>
            </w:r>
          </w:p>
        </w:tc>
        <w:tc>
          <w:tcPr>
            <w:tcW w:type="dxa" w:w="390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Was</w:t>
            </w:r>
          </w:p>
        </w:tc>
        <w:tc>
          <w:tcPr>
            <w:tcW w:type="dxa" w:w="383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Now</w:t>
            </w:r>
          </w:p>
        </w:tc>
      </w:tr>
      <w:tr>
        <w:tc>
          <w:tcPr>
            <w:tcW w:type="dxa" w:w="23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Headcount</w:t>
            </w:r>
          </w:p>
        </w:tc>
        <w:tc>
          <w:tcPr>
            <w:tcW w:type="dxa" w:w="39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No number anywhere, three claims of org leadership</w:t>
            </w:r>
          </w:p>
        </w:tc>
        <w:tc>
          <w:tcPr>
            <w:tcW w:type="dxa" w:w="38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Team of 6, ~18, and 15 named per role. The blocking item, closed, though see items 2 and 3.</w:t>
            </w:r>
          </w:p>
        </w:tc>
      </w:tr>
      <w:tr>
        <w:tc>
          <w:tcPr>
            <w:tcW w:type="dxa" w:w="235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The $200M claim</w:t>
            </w:r>
          </w:p>
        </w:tc>
        <w:tc>
          <w:tcPr>
            <w:tcW w:type="dxa" w:w="39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$200M+ annual revenue, unqualified, stated twice</w:t>
            </w:r>
          </w:p>
        </w:tc>
        <w:tc>
          <w:tcPr>
            <w:tcW w:type="dxa" w:w="383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Qualified as actual revenue, not GMV or run-rate. See item 5 on phrasing.</w:t>
            </w:r>
          </w:p>
        </w:tc>
      </w:tr>
      <w:tr>
        <w:tc>
          <w:tcPr>
            <w:tcW w:type="dxa" w:w="23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Throughline</w:t>
            </w:r>
          </w:p>
        </w:tc>
        <w:tc>
          <w:tcPr>
            <w:tcW w:type="dxa" w:w="39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PRODUCT EXECUTIVE | PRODUCT STRATEGY | PORTFOLIO LEADERSHIP</w:t>
            </w:r>
          </w:p>
        </w:tc>
        <w:tc>
          <w:tcPr>
            <w:tcW w:type="dxa" w:w="38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Platform Transitions and 0 to 1, plus a summary naming all four industries. Best change in the revision.</w:t>
            </w:r>
          </w:p>
        </w:tc>
      </w:tr>
      <w:tr>
        <w:tc>
          <w:tcPr>
            <w:tcW w:type="dxa" w:w="235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Length</w:t>
            </w:r>
          </w:p>
        </w:tc>
        <w:tc>
          <w:tcPr>
            <w:tcW w:type="dxa" w:w="39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288 words, 207 in experience</w:t>
            </w:r>
          </w:p>
        </w:tc>
        <w:tc>
          <w:tcPr>
            <w:tcW w:type="dxa" w:w="383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525 words. Under the 600 to 750 I suggested, but every added word carries evidence.</w:t>
            </w:r>
          </w:p>
        </w:tc>
      </w:tr>
      <w:tr>
        <w:tc>
          <w:tcPr>
            <w:tcW w:type="dxa" w:w="23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Malwarebytes block</w:t>
            </w:r>
          </w:p>
        </w:tc>
        <w:tc>
          <w:tcPr>
            <w:tcW w:type="dxa" w:w="39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34 words, two bullets starting Responsible for</w:t>
            </w:r>
          </w:p>
        </w:tc>
        <w:tc>
          <w:tcPr>
            <w:tcW w:type="dxa" w:w="38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ARR range, team size, the mechanism behind the GRR move, and three segments with distinct buying motions. Now the strongest block on the page.</w:t>
            </w:r>
          </w:p>
        </w:tc>
      </w:tr>
      <w:tr>
        <w:tc>
          <w:tcPr>
            <w:tcW w:type="dxa" w:w="235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Retention consistency</w:t>
            </w:r>
          </w:p>
        </w:tc>
        <w:tc>
          <w:tcPr>
            <w:tcW w:type="dxa" w:w="39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~87% in highlights, 87% in the bullet, two different metric names</w:t>
            </w:r>
          </w:p>
        </w:tc>
        <w:tc>
          <w:tcPr>
            <w:tcW w:type="dxa" w:w="383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Gross Revenue Retention, ~65% to 87%, identical in both places.</w:t>
            </w:r>
          </w:p>
        </w:tc>
      </w:tr>
      <w:tr>
        <w:tc>
          <w:tcPr>
            <w:tcW w:type="dxa" w:w="23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The degree line</w:t>
            </w:r>
          </w:p>
        </w:tc>
        <w:tc>
          <w:tcPr>
            <w:tcW w:type="dxa" w:w="39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B.A., S.E.B.T.S | PMP | PMI-ACP | Certified Agile</w:t>
            </w:r>
          </w:p>
        </w:tc>
        <w:tc>
          <w:tcPr>
            <w:tcW w:type="dxa" w:w="38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Institution dropped, certifications on their own lines. One of the two options offered, and a clean resolution.</w:t>
            </w:r>
          </w:p>
        </w:tc>
      </w:tr>
      <w:tr>
        <w:tc>
          <w:tcPr>
            <w:tcW w:type="dxa" w:w="235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Location and remote</w:t>
            </w:r>
          </w:p>
        </w:tc>
        <w:tc>
          <w:tcPr>
            <w:tcW w:type="dxa" w:w="39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Nothing on the page</w:t>
            </w:r>
          </w:p>
        </w:tc>
        <w:tc>
          <w:tcPr>
            <w:tcW w:type="dxa" w:w="383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Tampa, FL | Open to Remote (US). Also the source of my correction in section one.</w:t>
            </w:r>
          </w:p>
        </w:tc>
      </w:tr>
    </w:tbl>
    <w:p>
      <w:pPr>
        <w:spacing w:after="120" w:before="200" w:line="300"/>
      </w:pPr>
      <w:r>
        <w:rPr>
          <w:rFonts w:ascii="Calibri" w:cs="Calibri" w:eastAsia="Calibri" w:hAnsi="Calibri"/>
          <w:b w:val="false"/>
          <w:bCs w:val="false"/>
          <w:i w:val="false"/>
          <w:iCs w:val="false"/>
          <w:caps w:val="false"/>
          <w:color w:val="474D5C"/>
          <w:sz w:val="20"/>
          <w:szCs w:val="20"/>
        </w:rPr>
        <w:t xml:space="preserve">One judgment call worth naming. The Malwarebytes mechanism sentence, onboarding and customer-success process redesign plus targeted product reliability improvements, is the most valuable thing added in this revision after the headcount. A 22 point retention move with no mechanism attached reads as a number he was near. With the mechanism it reads as a number he caused, and that distinction is most of what a Director interview is trying to establish.</w:t>
      </w:r>
    </w:p>
    <w:p>
      <w:r>
        <w:br w:type="page"/>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06  /  Revised targets</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The list, filtered for Tampa and remote</w:t>
      </w:r>
    </w:p>
    <w:p>
      <w:pPr>
        <w:spacing w:after="160" w:before="0" w:line="300"/>
      </w:pPr>
      <w:r>
        <w:rPr>
          <w:rFonts w:ascii="Calibri" w:cs="Calibri" w:eastAsia="Calibri" w:hAnsi="Calibri"/>
          <w:b w:val="false"/>
          <w:bCs w:val="false"/>
          <w:i w:val="false"/>
          <w:iCs w:val="false"/>
          <w:caps w:val="false"/>
          <w:color w:val="474D5C"/>
          <w:sz w:val="20"/>
          <w:szCs w:val="20"/>
        </w:rPr>
        <w:t xml:space="preserve">Tampa plus a stated preference for remote changes the shape of the sixteen. Seven of them are Bay Area, Seattle or New York onsite or hybrid and drop out unless he will relocate, which the résumé implies he will not. Every role below was re-verified live immediately before this document was written.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50"/>
        <w:gridCol w:w="1600"/>
        <w:gridCol w:w="2100"/>
        <w:gridCol w:w="3530"/>
      </w:tblGrid>
      <w:tr>
        <w:trPr>
          <w:tblHeader/>
        </w:trPr>
        <w:tc>
          <w:tcPr>
            <w:tcW w:type="dxa" w:w="285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60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210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Base band</w:t>
            </w:r>
          </w:p>
        </w:tc>
        <w:tc>
          <w:tcPr>
            <w:tcW w:type="dxa" w:w="353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Status for him</w:t>
            </w:r>
          </w:p>
        </w:tc>
      </w:tr>
      <w:tr>
        <w:tc>
          <w:tcPr>
            <w:tcW w:type="dxa" w:w="28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Director, PM, Identity</w:t>
            </w:r>
          </w:p>
        </w:tc>
        <w:tc>
          <w:tcPr>
            <w:tcW w:type="dxa" w:w="16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Huntress</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$260,000 to $290,000</w:t>
            </w:r>
          </w:p>
        </w:tc>
        <w:tc>
          <w:tcPr>
            <w:tcW w:type="dxa" w:w="35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100% remote since 2015, confirmed in the posting. 8+ years, the lowest bar on the list. Still rank one, and the revision strengthened the Malwarebytes block it depends on.</w:t>
            </w:r>
          </w:p>
        </w:tc>
      </w:tr>
      <w:tr>
        <w:tc>
          <w:tcPr>
            <w:tcW w:type="dxa" w:w="285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Senior Product Director, Client Engagement</w:t>
            </w:r>
          </w:p>
        </w:tc>
        <w:tc>
          <w:tcPr>
            <w:tcW w:type="dxa" w:w="16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Squarespace</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$323,000 to $435,000</w:t>
            </w:r>
          </w:p>
        </w:tc>
        <w:tc>
          <w:tcPr>
            <w:tcW w:type="dxa" w:w="353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Remote, United States. Highest confirmed remote band. Group-level scope, so item 3 decides whether he is competitive.</w:t>
            </w:r>
          </w:p>
        </w:tc>
      </w:tr>
      <w:tr>
        <w:tc>
          <w:tcPr>
            <w:tcW w:type="dxa" w:w="28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Director of Product, G&amp;C</w:t>
            </w:r>
          </w:p>
        </w:tc>
        <w:tc>
          <w:tcPr>
            <w:tcW w:type="dxa" w:w="16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Vanta</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$286,000 to $336,000</w:t>
            </w:r>
          </w:p>
        </w:tc>
        <w:tc>
          <w:tcPr>
            <w:tcW w:type="dxa" w:w="35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Remote U.S. Wants 12+ years product and he has 11, plus 5+ managing. A reach on both, worth the application.</w:t>
            </w:r>
          </w:p>
        </w:tc>
      </w:tr>
      <w:tr>
        <w:tc>
          <w:tcPr>
            <w:tcW w:type="dxa" w:w="285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Senior Director, PM</w:t>
            </w:r>
          </w:p>
        </w:tc>
        <w:tc>
          <w:tcPr>
            <w:tcW w:type="dxa" w:w="16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Affirm</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$350,750 to $391,000</w:t>
            </w:r>
          </w:p>
        </w:tc>
        <w:tc>
          <w:tcPr>
            <w:tcW w:type="dxa" w:w="353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Remote US. Corrected from my last document: this is the Florida figure, not $391,000 to $431,250.</w:t>
            </w:r>
          </w:p>
        </w:tc>
      </w:tr>
      <w:tr>
        <w:tc>
          <w:tcPr>
            <w:tcW w:type="dxa" w:w="28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Director, PM (Shopping &amp; Offers)</w:t>
            </w:r>
          </w:p>
        </w:tc>
        <w:tc>
          <w:tcPr>
            <w:tcW w:type="dxa" w:w="16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Affirm</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$267,000 to $327,000</w:t>
            </w:r>
          </w:p>
        </w:tc>
        <w:tc>
          <w:tcPr>
            <w:tcW w:type="dxa" w:w="35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Remote US. Also corrected: the CA tier does not apply to him.</w:t>
            </w:r>
          </w:p>
        </w:tc>
      </w:tr>
      <w:tr>
        <w:tc>
          <w:tcPr>
            <w:tcW w:type="dxa" w:w="285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Group PM, Compliance Agent Experience</w:t>
            </w:r>
          </w:p>
        </w:tc>
        <w:tc>
          <w:tcPr>
            <w:tcW w:type="dxa" w:w="16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Coinbase</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$243,865 to $286,900</w:t>
            </w:r>
          </w:p>
        </w:tc>
        <w:tc>
          <w:tcPr>
            <w:tcW w:type="dxa" w:w="353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Remote-first but not remote-only, in their words. 10+ years with 5+ leading PM teams, so item 3 gates it. Three applications per six months, so choose carefully.</w:t>
            </w:r>
          </w:p>
        </w:tc>
      </w:tr>
      <w:tr>
        <w:tc>
          <w:tcPr>
            <w:tcW w:type="dxa" w:w="28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Director, Product Management</w:t>
            </w:r>
          </w:p>
        </w:tc>
        <w:tc>
          <w:tcPr>
            <w:tcW w:type="dxa" w:w="16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Dragos</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$245,000 flat</w:t>
            </w:r>
          </w:p>
        </w:tc>
        <w:tc>
          <w:tcPr>
            <w:tcW w:type="dxa" w:w="35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Remote-first, tagged LI-REMOTE. Asks 10+ years of cybersecurity product management specifically and he has about three. Fixed single figure, so no negotiation.</w:t>
            </w:r>
          </w:p>
        </w:tc>
      </w:tr>
      <w:tr>
        <w:tc>
          <w:tcPr>
            <w:tcW w:type="dxa" w:w="285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Senior Director PM, Growth</w:t>
            </w:r>
          </w:p>
        </w:tc>
        <w:tc>
          <w:tcPr>
            <w:tcW w:type="dxa" w:w="16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MongoDB</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$162,000 to $319,000</w:t>
            </w:r>
          </w:p>
        </w:tc>
        <w:tc>
          <w:tcPr>
            <w:tcW w:type="dxa" w:w="353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Listed as United States with no remote language in the posting. Confirm before investing. Widest band in the search.</w:t>
            </w:r>
          </w:p>
        </w:tc>
      </w:tr>
      <w:tr>
        <w:tc>
          <w:tcPr>
            <w:tcW w:type="dxa" w:w="285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Head of Product, Home Lending</w:t>
            </w:r>
          </w:p>
        </w:tc>
        <w:tc>
          <w:tcPr>
            <w:tcW w:type="dxa" w:w="16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Blend</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$205,000 to $241,000</w:t>
            </w:r>
          </w:p>
        </w:tc>
        <w:tc>
          <w:tcPr>
            <w:tcW w:type="dxa" w:w="353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United States, no remote language published. Confirm. 10+ years with 4+ leading product teams.</w:t>
            </w:r>
          </w:p>
        </w:tc>
      </w:tr>
    </w:tbl>
    <w:p>
      <w:pPr>
        <w:spacing w:after="40" w:before="160"/>
      </w:pPr>
      <w:r>
        <w:rPr>
          <w:rFonts w:ascii="Consolas" w:cs="Consolas" w:eastAsia="Consolas" w:hAnsi="Consolas"/>
          <w:b/>
          <w:bCs/>
          <w:i w:val="false"/>
          <w:iCs w:val="false"/>
          <w:caps w:val="false"/>
          <w:color w:val="838A99"/>
          <w:spacing w:val="24"/>
          <w:sz w:val="12"/>
          <w:szCs w:val="12"/>
        </w:rPr>
        <w:t xml:space="preserve">LIVE POSTINGS</w:t>
      </w:r>
    </w:p>
    <w:p>
      <w:pPr>
        <w:spacing w:after="140" w:before="40"/>
      </w:pPr>
      <w:r>
        <w:rPr>
          <w:rFonts w:ascii="Consolas" w:cs="Consolas" w:eastAsia="Consolas" w:hAnsi="Consolas"/>
          <w:b w:val="false"/>
          <w:bCs w:val="false"/>
          <w:i w:val="false"/>
          <w:iCs w:val="false"/>
          <w:caps/>
          <w:color w:val="838A99"/>
          <w:spacing w:val="24"/>
          <w:sz w:val="13"/>
          <w:szCs w:val="13"/>
        </w:rPr>
        <w:t xml:space="preserve">Apply   </w:t>
      </w:r>
      <w:hyperlink w:history="1" r:id="rIdebmy8qinabsi-uzbesw3w">
        <w:r>
          <w:rPr>
            <w:rFonts w:ascii="Consolas" w:cs="Consolas" w:eastAsia="Consolas" w:hAnsi="Consolas"/>
            <w:color w:val="1F4E5F"/>
            <w:sz w:val="16"/>
            <w:szCs w:val="16"/>
            <w:u w:val="single"/>
          </w:rPr>
          <w:t xml:space="preserve">Huntress</w:t>
        </w:r>
      </w:hyperlink>
      <w:r>
        <w:rPr>
          <w:rFonts w:ascii="Consolas" w:cs="Consolas" w:eastAsia="Consolas" w:hAnsi="Consolas"/>
          <w:b w:val="false"/>
          <w:bCs w:val="false"/>
          <w:i w:val="false"/>
          <w:iCs w:val="false"/>
          <w:caps w:val="false"/>
          <w:color w:val="838A99"/>
          <w:sz w:val="15"/>
          <w:szCs w:val="15"/>
        </w:rPr>
        <w:t xml:space="preserve">   ·   </w:t>
      </w:r>
      <w:hyperlink w:history="1" r:id="rIdjicnp2xuh3fawog-j3e_c">
        <w:r>
          <w:rPr>
            <w:rFonts w:ascii="Consolas" w:cs="Consolas" w:eastAsia="Consolas" w:hAnsi="Consolas"/>
            <w:color w:val="1F4E5F"/>
            <w:sz w:val="16"/>
            <w:szCs w:val="16"/>
            <w:u w:val="single"/>
          </w:rPr>
          <w:t xml:space="preserve">Squarespace</w:t>
        </w:r>
      </w:hyperlink>
      <w:r>
        <w:rPr>
          <w:rFonts w:ascii="Consolas" w:cs="Consolas" w:eastAsia="Consolas" w:hAnsi="Consolas"/>
          <w:b w:val="false"/>
          <w:bCs w:val="false"/>
          <w:i w:val="false"/>
          <w:iCs w:val="false"/>
          <w:caps w:val="false"/>
          <w:color w:val="838A99"/>
          <w:sz w:val="15"/>
          <w:szCs w:val="15"/>
        </w:rPr>
        <w:t xml:space="preserve">   ·   </w:t>
      </w:r>
      <w:hyperlink w:history="1" r:id="rIdhgd3yvajebvjhgi7dyc0h">
        <w:r>
          <w:rPr>
            <w:rFonts w:ascii="Consolas" w:cs="Consolas" w:eastAsia="Consolas" w:hAnsi="Consolas"/>
            <w:color w:val="1F4E5F"/>
            <w:sz w:val="16"/>
            <w:szCs w:val="16"/>
            <w:u w:val="single"/>
          </w:rPr>
          <w:t xml:space="preserve">Vanta</w:t>
        </w:r>
      </w:hyperlink>
    </w:p>
    <w:p>
      <w:pPr>
        <w:spacing w:after="140" w:before="40"/>
      </w:pPr>
      <w:r>
        <w:rPr>
          <w:rFonts w:ascii="Consolas" w:cs="Consolas" w:eastAsia="Consolas" w:hAnsi="Consolas"/>
          <w:b w:val="false"/>
          <w:bCs w:val="false"/>
          <w:i w:val="false"/>
          <w:iCs w:val="false"/>
          <w:caps/>
          <w:color w:val="838A99"/>
          <w:spacing w:val="24"/>
          <w:sz w:val="13"/>
          <w:szCs w:val="13"/>
        </w:rPr>
        <w:t xml:space="preserve">Apply   </w:t>
      </w:r>
      <w:hyperlink w:history="1" r:id="rIdt8cx0i-cyycanhp159vcq">
        <w:r>
          <w:rPr>
            <w:rFonts w:ascii="Consolas" w:cs="Consolas" w:eastAsia="Consolas" w:hAnsi="Consolas"/>
            <w:color w:val="1F4E5F"/>
            <w:sz w:val="16"/>
            <w:szCs w:val="16"/>
            <w:u w:val="single"/>
          </w:rPr>
          <w:t xml:space="preserve">Affirm, Senior Director</w:t>
        </w:r>
      </w:hyperlink>
      <w:r>
        <w:rPr>
          <w:rFonts w:ascii="Consolas" w:cs="Consolas" w:eastAsia="Consolas" w:hAnsi="Consolas"/>
          <w:b w:val="false"/>
          <w:bCs w:val="false"/>
          <w:i w:val="false"/>
          <w:iCs w:val="false"/>
          <w:caps w:val="false"/>
          <w:color w:val="838A99"/>
          <w:sz w:val="15"/>
          <w:szCs w:val="15"/>
        </w:rPr>
        <w:t xml:space="preserve">   ·   </w:t>
      </w:r>
      <w:hyperlink w:history="1" r:id="rId-e2xdhkurrx38agcmddru">
        <w:r>
          <w:rPr>
            <w:rFonts w:ascii="Consolas" w:cs="Consolas" w:eastAsia="Consolas" w:hAnsi="Consolas"/>
            <w:color w:val="1F4E5F"/>
            <w:sz w:val="16"/>
            <w:szCs w:val="16"/>
            <w:u w:val="single"/>
          </w:rPr>
          <w:t xml:space="preserve">Affirm, Director</w:t>
        </w:r>
      </w:hyperlink>
    </w:p>
    <w:p>
      <w:pPr>
        <w:spacing w:after="140" w:before="40"/>
      </w:pPr>
      <w:r>
        <w:rPr>
          <w:rFonts w:ascii="Consolas" w:cs="Consolas" w:eastAsia="Consolas" w:hAnsi="Consolas"/>
          <w:b w:val="false"/>
          <w:bCs w:val="false"/>
          <w:i w:val="false"/>
          <w:iCs w:val="false"/>
          <w:caps/>
          <w:color w:val="838A99"/>
          <w:spacing w:val="24"/>
          <w:sz w:val="13"/>
          <w:szCs w:val="13"/>
        </w:rPr>
        <w:t xml:space="preserve">Apply   </w:t>
      </w:r>
      <w:hyperlink w:history="1" r:id="rIdn7howjtmnuq1kqfzk43-y">
        <w:r>
          <w:rPr>
            <w:rFonts w:ascii="Consolas" w:cs="Consolas" w:eastAsia="Consolas" w:hAnsi="Consolas"/>
            <w:color w:val="1F4E5F"/>
            <w:sz w:val="16"/>
            <w:szCs w:val="16"/>
            <w:u w:val="single"/>
          </w:rPr>
          <w:t xml:space="preserve">Coinbase</w:t>
        </w:r>
      </w:hyperlink>
      <w:r>
        <w:rPr>
          <w:rFonts w:ascii="Consolas" w:cs="Consolas" w:eastAsia="Consolas" w:hAnsi="Consolas"/>
          <w:b w:val="false"/>
          <w:bCs w:val="false"/>
          <w:i w:val="false"/>
          <w:iCs w:val="false"/>
          <w:caps w:val="false"/>
          <w:color w:val="838A99"/>
          <w:sz w:val="15"/>
          <w:szCs w:val="15"/>
        </w:rPr>
        <w:t xml:space="preserve">   ·   </w:t>
      </w:r>
      <w:hyperlink w:history="1" r:id="rIdq0czsb5mz6kji9tmvjcjh">
        <w:r>
          <w:rPr>
            <w:rFonts w:ascii="Consolas" w:cs="Consolas" w:eastAsia="Consolas" w:hAnsi="Consolas"/>
            <w:color w:val="1F4E5F"/>
            <w:sz w:val="16"/>
            <w:szCs w:val="16"/>
            <w:u w:val="single"/>
          </w:rPr>
          <w:t xml:space="preserve">Dragos</w:t>
        </w:r>
      </w:hyperlink>
      <w:r>
        <w:rPr>
          <w:rFonts w:ascii="Consolas" w:cs="Consolas" w:eastAsia="Consolas" w:hAnsi="Consolas"/>
          <w:b w:val="false"/>
          <w:bCs w:val="false"/>
          <w:i w:val="false"/>
          <w:iCs w:val="false"/>
          <w:caps w:val="false"/>
          <w:color w:val="838A99"/>
          <w:sz w:val="15"/>
          <w:szCs w:val="15"/>
        </w:rPr>
        <w:t xml:space="preserve">   ·   </w:t>
      </w:r>
      <w:hyperlink w:history="1" r:id="rId1z2yvtuatne8uc1xq_ycc">
        <w:r>
          <w:rPr>
            <w:rFonts w:ascii="Consolas" w:cs="Consolas" w:eastAsia="Consolas" w:hAnsi="Consolas"/>
            <w:color w:val="1F4E5F"/>
            <w:sz w:val="16"/>
            <w:szCs w:val="16"/>
            <w:u w:val="single"/>
          </w:rPr>
          <w:t xml:space="preserve">MongoDB</w:t>
        </w:r>
      </w:hyperlink>
      <w:r>
        <w:rPr>
          <w:rFonts w:ascii="Consolas" w:cs="Consolas" w:eastAsia="Consolas" w:hAnsi="Consolas"/>
          <w:b w:val="false"/>
          <w:bCs w:val="false"/>
          <w:i w:val="false"/>
          <w:iCs w:val="false"/>
          <w:caps w:val="false"/>
          <w:color w:val="838A99"/>
          <w:sz w:val="15"/>
          <w:szCs w:val="15"/>
        </w:rPr>
        <w:t xml:space="preserve">   ·   </w:t>
      </w:r>
      <w:hyperlink w:history="1" r:id="rIdmpqza8lfcbqxamsoxtcy3">
        <w:r>
          <w:rPr>
            <w:rFonts w:ascii="Consolas" w:cs="Consolas" w:eastAsia="Consolas" w:hAnsi="Consolas"/>
            <w:color w:val="1F4E5F"/>
            <w:sz w:val="16"/>
            <w:szCs w:val="16"/>
            <w:u w:val="single"/>
          </w:rPr>
          <w:t xml:space="preserve">Blend</w:t>
        </w:r>
      </w:hyperlink>
    </w:p>
    <w:p>
      <w:pPr>
        <w:spacing w:after="100" w:before="160" w:line="300"/>
      </w:pPr>
      <w:r>
        <w:rPr>
          <w:rFonts w:ascii="Calibri" w:cs="Calibri" w:eastAsia="Calibri" w:hAnsi="Calibri"/>
          <w:b w:val="false"/>
          <w:bCs w:val="false"/>
          <w:i w:val="false"/>
          <w:iCs w:val="false"/>
          <w:caps w:val="false"/>
          <w:color w:val="474D5C"/>
          <w:sz w:val="20"/>
          <w:szCs w:val="20"/>
        </w:rPr>
        <w:t xml:space="preserve">Dropped on location, all still live and all worth revisiting if he will consider relocation or hybrid: Asana VP/GM at $399,000 to $470,000 and Chime at $326,000 to $383,000, both San Francisco. Brex at $340,000 to $425,000 across Seattle, San Francisco, New York and Vancouver. Datadog at $280,000 to $350,000 in New York. Zscaler at $231,000 to $330,000 in San Jose. Calendly at $248,000 to $409,200 in San Francisco hybrid. Cloudflare hybrid, band unpublished. That is seven roles and the top of the market, which is worth knowing before he rules relocation out permanently.</w:t>
      </w:r>
    </w:p>
    <w:p>
      <w:pPr>
        <w:pBdr>
          <w:left w:val="single" w:color="D7DAE2" w:sz="10" w:space="14"/>
        </w:pBdr>
        <w:spacing w:after="160" w:before="200"/>
        <w:ind w:left="180"/>
      </w:pPr>
      <w:r>
        <w:rPr>
          <w:rFonts w:ascii="Calibri" w:cs="Calibri" w:eastAsia="Calibri" w:hAnsi="Calibri"/>
          <w:b w:val="false"/>
          <w:bCs w:val="false"/>
          <w:i/>
          <w:iCs/>
          <w:caps w:val="false"/>
          <w:color w:val="838A99"/>
          <w:sz w:val="18"/>
          <w:szCs w:val="18"/>
        </w:rPr>
        <w:t xml:space="preserve">The eleven years versus twelve gap is worth watching. Vanta, Zscaler and Asana all state 12+, and he is about a year short. That resolves itself with time and no action, which is the best kind of gap to have.</w:t>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07  /  Sequence</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What to do, in order</w:t>
      </w:r>
    </w:p>
    <w:p>
      <w:pPr>
        <w:spacing w:after="100" w:before="0" w:line="300"/>
      </w:pPr>
      <w:r>
        <w:rPr>
          <w:rFonts w:ascii="Calibri" w:cs="Calibri" w:eastAsia="Calibri" w:hAnsi="Calibri"/>
          <w:b w:val="false"/>
          <w:bCs w:val="false"/>
          <w:i w:val="false"/>
          <w:iCs w:val="false"/>
          <w:caps w:val="false"/>
          <w:color w:val="474D5C"/>
          <w:sz w:val="20"/>
          <w:szCs w:val="20"/>
        </w:rPr>
        <w:t xml:space="preserve">1.  Answer the reports question. How many of the Malwarebytes fifteen reported to him. Everything in section six depends on it and nothing else on this list comes close.</w:t>
      </w:r>
    </w:p>
    <w:p>
      <w:pPr>
        <w:spacing w:after="100" w:before="0" w:line="300"/>
      </w:pPr>
      <w:r>
        <w:rPr>
          <w:rFonts w:ascii="Calibri" w:cs="Calibri" w:eastAsia="Calibri" w:hAnsi="Calibri"/>
          <w:b w:val="false"/>
          <w:bCs w:val="false"/>
          <w:i w:val="false"/>
          <w:iCs w:val="false"/>
          <w:caps w:val="false"/>
          <w:color w:val="474D5C"/>
          <w:sz w:val="20"/>
          <w:szCs w:val="20"/>
        </w:rPr>
        <w:t xml:space="preserve">2.  Fix the 10 to 20+ highlight so it matches the bullets underneath it. One line.</w:t>
      </w:r>
    </w:p>
    <w:p>
      <w:pPr>
        <w:spacing w:after="100" w:before="0" w:line="300"/>
      </w:pPr>
      <w:r>
        <w:rPr>
          <w:rFonts w:ascii="Calibri" w:cs="Calibri" w:eastAsia="Calibri" w:hAnsi="Calibri"/>
          <w:b w:val="false"/>
          <w:bCs w:val="false"/>
          <w:i w:val="false"/>
          <w:iCs w:val="false"/>
          <w:caps w:val="false"/>
          <w:color w:val="474D5C"/>
          <w:sz w:val="20"/>
          <w:szCs w:val="20"/>
        </w:rPr>
        <w:t xml:space="preserve">3.  Add months to all four date ranges.</w:t>
      </w:r>
    </w:p>
    <w:p>
      <w:pPr>
        <w:spacing w:after="100" w:before="0" w:line="300"/>
      </w:pPr>
      <w:r>
        <w:rPr>
          <w:rFonts w:ascii="Calibri" w:cs="Calibri" w:eastAsia="Calibri" w:hAnsi="Calibri"/>
          <w:b w:val="false"/>
          <w:bCs w:val="false"/>
          <w:i w:val="false"/>
          <w:iCs w:val="false"/>
          <w:caps w:val="false"/>
          <w:color w:val="474D5C"/>
          <w:sz w:val="20"/>
          <w:szCs w:val="20"/>
        </w:rPr>
        <w:t xml:space="preserve">4.  Replace every arrow character with the words 0 to 1. Two minutes, and it protects the title bar from being parsed into nonsense.</w:t>
      </w:r>
    </w:p>
    <w:p>
      <w:pPr>
        <w:spacing w:after="100" w:before="0" w:line="300"/>
      </w:pPr>
      <w:r>
        <w:rPr>
          <w:rFonts w:ascii="Calibri" w:cs="Calibri" w:eastAsia="Calibri" w:hAnsi="Calibri"/>
          <w:b w:val="false"/>
          <w:bCs w:val="false"/>
          <w:i w:val="false"/>
          <w:iCs w:val="false"/>
          <w:caps w:val="false"/>
          <w:color w:val="474D5C"/>
          <w:sz w:val="20"/>
          <w:szCs w:val="20"/>
        </w:rPr>
        <w:t xml:space="preserve">5.  Narrow the ARR range, soften the $200M disclaimer to one precise word, add the missing period.</w:t>
      </w:r>
    </w:p>
    <w:p>
      <w:pPr>
        <w:spacing w:after="200" w:before="0" w:line="300"/>
      </w:pPr>
      <w:r>
        <w:rPr>
          <w:rFonts w:ascii="Calibri" w:cs="Calibri" w:eastAsia="Calibri" w:hAnsi="Calibri"/>
          <w:b w:val="false"/>
          <w:bCs w:val="false"/>
          <w:i w:val="false"/>
          <w:iCs w:val="false"/>
          <w:caps w:val="false"/>
          <w:color w:val="474D5C"/>
          <w:sz w:val="20"/>
          <w:szCs w:val="20"/>
        </w:rPr>
        <w:t xml:space="preserve">6.  Apply to Huntress. Lowest experience bar, confirmed fully remote, closest domain match, reports to a VP of Product, and the block of the résumé it leans on is the one that improved most in this revision.</w:t>
      </w:r>
    </w:p>
    <w:p>
      <w:pPr>
        <w:pBdr>
          <w:left w:val="single" w:color="D7DAE2" w:sz="10" w:space="14"/>
        </w:pBdr>
        <w:spacing w:after="160" w:before="200"/>
        <w:ind w:left="180"/>
      </w:pPr>
      <w:r>
        <w:rPr>
          <w:rFonts w:ascii="Calibri" w:cs="Calibri" w:eastAsia="Calibri" w:hAnsi="Calibri"/>
          <w:b w:val="false"/>
          <w:bCs w:val="false"/>
          <w:i/>
          <w:iCs/>
          <w:caps w:val="false"/>
          <w:color w:val="838A99"/>
          <w:sz w:val="18"/>
          <w:szCs w:val="18"/>
        </w:rPr>
        <w:t xml:space="preserve">After step two this is sendable. After step one he knows which half of section six he is actually competing for, and that is worth more than any further wordsmithing on the document.</w:t>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08  /  Appendix</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Method and caveats</w:t>
      </w:r>
    </w:p>
    <w:p>
      <w:pPr>
        <w:spacing w:after="140" w:before="0" w:line="300"/>
      </w:pPr>
      <w:r>
        <w:rPr>
          <w:rFonts w:ascii="Calibri" w:cs="Calibri" w:eastAsia="Calibri" w:hAnsi="Calibri"/>
          <w:b w:val="false"/>
          <w:bCs w:val="false"/>
          <w:i w:val="false"/>
          <w:iCs w:val="false"/>
          <w:caps w:val="false"/>
          <w:color w:val="474D5C"/>
          <w:sz w:val="20"/>
          <w:szCs w:val="20"/>
        </w:rPr>
        <w:t xml:space="preserve">Comparison.   The revised PDF was extracted and diffed against the prior version and against the nine fixes from the first review. Word counts, headcount claims, revenue figures, date formats and special characters were extracted programmatically rather than read by eye.</w:t>
      </w:r>
    </w:p>
    <w:p>
      <w:pPr>
        <w:spacing w:after="140" w:before="0" w:line="300"/>
      </w:pPr>
      <w:r>
        <w:rPr>
          <w:rFonts w:ascii="Calibri" w:cs="Calibri" w:eastAsia="Calibri" w:hAnsi="Calibri"/>
          <w:b w:val="false"/>
          <w:bCs w:val="false"/>
          <w:i w:val="false"/>
          <w:iCs w:val="false"/>
          <w:caps w:val="false"/>
          <w:color w:val="474D5C"/>
          <w:sz w:val="20"/>
          <w:szCs w:val="20"/>
        </w:rPr>
        <w:t xml:space="preserve">Verification.   All sixteen roles from the first document were re-queried through the employers' own applicant tracking systems immediately before this review was written, and all sixteen returned live with no removal notice. Remote status was taken from explicit language in each posting body rather than from the location field, which is why MongoDB and Blend are marked unconfirmed rather than assumed remote. Affirm's geographic tiers were re-read directly from both postings to confirm the Florida figure.</w:t>
      </w:r>
    </w:p>
    <w:p>
      <w:pPr>
        <w:spacing w:after="60" w:before="60"/>
      </w:pPr>
      <w:r>
        <w:rPr>
          <w:rFonts w:ascii="Consolas" w:cs="Consolas" w:eastAsia="Consolas" w:hAnsi="Consolas"/>
          <w:b/>
          <w:bCs/>
          <w:i w:val="false"/>
          <w:iCs w:val="false"/>
          <w:caps w:val="false"/>
          <w:color w:val="8A6A1E"/>
          <w:spacing w:val="24"/>
          <w:sz w:val="13"/>
          <w:szCs w:val="13"/>
        </w:rPr>
        <w:t xml:space="preserve">Caveat.   </w:t>
      </w:r>
      <w:r>
        <w:rPr>
          <w:rFonts w:ascii="Calibri" w:cs="Calibri" w:eastAsia="Calibri" w:hAnsi="Calibri"/>
          <w:b w:val="false"/>
          <w:bCs w:val="false"/>
          <w:i/>
          <w:iCs/>
          <w:caps w:val="false"/>
          <w:color w:val="838A99"/>
          <w:sz w:val="17"/>
          <w:szCs w:val="17"/>
        </w:rPr>
        <w:t xml:space="preserve">Postings close without notice. Re-check any role before investing time in an application. Tax commentary in section one is directional context, not advice, and depends on his filing situation. No visual render of this document was possible in the environment it was built in, so its structure is validated programmatically rather than by eye.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4D5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81F"/>
      <w:sz w:val="34"/>
      <w:szCs w:val="34"/>
    </w:rPr>
  </w:style>
  <w:style w:type="paragraph" w:styleId="Heading2">
    <w:name w:val="Heading 2"/>
    <w:basedOn w:val="Normal"/>
    <w:next w:val="Normal"/>
    <w:qFormat/>
    <w:rPr>
      <w:rFonts w:ascii="Georgia" w:cs="Georgia" w:eastAsia="Georgia" w:hAnsi="Georgia"/>
      <w:b w:val="false"/>
      <w:bCs w:val="false"/>
      <w:color w:val="15181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bmy8qinabsi-uzbesw3w" Type="http://schemas.openxmlformats.org/officeDocument/2006/relationships/hyperlink" Target="https://job-boards.greenhouse.io/huntress/jobs/7780668003" TargetMode="External"/><Relationship Id="rIdjicnp2xuh3fawog-j3e_c" Type="http://schemas.openxmlformats.org/officeDocument/2006/relationships/hyperlink" Target="https://www.squarespace.com/about/careers?gh_jid=8186452" TargetMode="External"/><Relationship Id="rIdhgd3yvajebvjhgi7dyc0h" Type="http://schemas.openxmlformats.org/officeDocument/2006/relationships/hyperlink" Target="https://jobs.ashbyhq.com/vanta/20d2c9aa-19da-4370-9378-491312f6f98a" TargetMode="External"/><Relationship Id="rIdt8cx0i-cyycanhp159vcq" Type="http://schemas.openxmlformats.org/officeDocument/2006/relationships/hyperlink" Target="https://job-boards.greenhouse.io/affirm/jobs/7801336003" TargetMode="External"/><Relationship Id="rId-e2xdhkurrx38agcmddru" Type="http://schemas.openxmlformats.org/officeDocument/2006/relationships/hyperlink" Target="https://job-boards.greenhouse.io/affirm/jobs/7780490003" TargetMode="External"/><Relationship Id="rIdn7howjtmnuq1kqfzk43-y" Type="http://schemas.openxmlformats.org/officeDocument/2006/relationships/hyperlink" Target="https://www.coinbase.com/careers/positions/8060662" TargetMode="External"/><Relationship Id="rIdq0czsb5mz6kji9tmvjcjh" Type="http://schemas.openxmlformats.org/officeDocument/2006/relationships/hyperlink" Target="https://job-boards.greenhouse.io/dragos/jobs/5281216008" TargetMode="External"/><Relationship Id="rId1z2yvtuatne8uc1xq_ycc" Type="http://schemas.openxmlformats.org/officeDocument/2006/relationships/hyperlink" Target="https://www.mongodb.com/careers/job/?gh_jid=8157328" TargetMode="External"/><Relationship Id="rIdmpqza8lfcbqxamsoxtcy3" Type="http://schemas.openxmlformats.org/officeDocument/2006/relationships/hyperlink" Target="https://job-boards.greenhouse.io/blend/jobs/6181260004"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review round two, Jonathan Rivera</dc:title>
  <dc:creator>Job Search Analysis</dc:creator>
  <dc:description>Review of Jonathan_Rivera_Resume_Revised.pdf against the first round recommendations</dc:description>
  <cp:lastModifiedBy>Un-named</cp:lastModifiedBy>
  <cp:revision>1</cp:revision>
  <dcterms:created xsi:type="dcterms:W3CDTF">2026-09-11T19:36:59.579Z</dcterms:created>
  <dcterms:modified xsi:type="dcterms:W3CDTF">2026-09-11T19:36:59.580Z</dcterms:modified>
</cp:coreProperties>
</file>

<file path=docProps/custom.xml><?xml version="1.0" encoding="utf-8"?>
<Properties xmlns="http://schemas.openxmlformats.org/officeDocument/2006/custom-properties" xmlns:vt="http://schemas.openxmlformats.org/officeDocument/2006/docPropsVTypes"/>
</file>