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32"/>
          <w:szCs w:val="32"/>
          <w:rtl w:val="0"/>
        </w:rPr>
        <w:t xml:space="preserve">ROBERT J. SHAKER II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333333"/>
          <w:sz w:val="18"/>
          <w:szCs w:val="18"/>
          <w:rtl w:val="0"/>
        </w:rPr>
        <w:t xml:space="preserve">rshaker2@gmail.com  ·  508-615-0506  ·  linkedin.com/in/rshaker2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40" w:lineRule="auto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111111"/>
          <w:sz w:val="20"/>
          <w:szCs w:val="20"/>
          <w:rtl w:val="0"/>
        </w:rPr>
        <w:t xml:space="preserve">KEY HIGHLIGHTS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999999" w:space="0" w:sz="6" w:val="single"/>
        </w:pBdr>
        <w:spacing w:after="100" w:before="20" w:lineRule="auto"/>
        <w:rPr/>
      </w:pPr>
      <w:r>
        <w:rPr>
          <w:rtl w:val="0"/>
          <w:sz w:val="2"/>
          <w:szCs w:val="2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tl w:val="0"/>
        </w:rPr>
        <w:t xml:space="preserve">25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+ years of expertise in </w:t>
      </w:r>
      <w:r>
        <w:rPr>
          <w:rtl w:val="0"/>
        </w:rPr>
        <w:t xml:space="preserve">cybersecurity,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 open source, and software supply chain security, with deep domain experience across financial services, healthcare, and enterprise software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Scaled 4 PE-backed businesses from $0 to $</w:t>
      </w:r>
      <w:r>
        <w:rPr>
          <w:rtl w:val="0"/>
        </w:rPr>
        <w:t xml:space="preserve">1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00M+ at 12-50% YoY growth, while improving margins from negative EBITDA to profitability across multiple engagements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Deep GTM and analyst influence experience,</w:t>
      </w:r>
      <w:r>
        <w:rPr>
          <w:rtl w:val="0"/>
        </w:rPr>
        <w:t xml:space="preserve">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repositioning lagging products as category leaders</w:t>
      </w:r>
    </w:p>
    <w:p w:rsidR="00000000" w:rsidDel="00000000" w:rsidP="00000000" w:rsidRDefault="00000000" w:rsidRPr="00000000" w14:paraId="0000000B">
      <w:pPr>
        <w:spacing w:after="0" w:before="240" w:lineRule="auto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111111"/>
          <w:sz w:val="20"/>
          <w:szCs w:val="20"/>
          <w:rtl w:val="0"/>
        </w:rPr>
        <w:t xml:space="preserve">EXPERIENCE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999999" w:space="0" w:sz="6" w:val="single"/>
        </w:pBdr>
        <w:spacing w:after="100" w:before="20" w:lineRule="auto"/>
        <w:rPr/>
      </w:pPr>
      <w:r>
        <w:rPr>
          <w:rtl w:val="0"/>
          <w:sz w:val="2"/>
          <w:szCs w:val="2"/>
        </w:rPr>
      </w:r>
    </w:p>
    <w:p w:rsidR="00000000" w:rsidDel="00000000" w:rsidP="00000000" w:rsidRDefault="00000000" w:rsidRPr="00000000" w14:paraId="0000000D">
      <w:pPr>
        <w:tabs>
          <w:tab w:val="right" w:leader="none" w:pos="10800"/>
        </w:tabs>
        <w:spacing w:after="0" w:before="160" w:lineRule="auto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20"/>
          <w:szCs w:val="20"/>
          <w:rtl w:val="0"/>
        </w:rPr>
        <w:t xml:space="preserve">ActiveState, </w:t>
      </w:r>
      <w:r>
        <w:rPr>
          <w:color w:val="111111"/>
          <w:sz w:val="20"/>
          <w:szCs w:val="20"/>
          <w:rtl w:val="0"/>
        </w:rPr>
        <w:t xml:space="preserve">SVP, Product and Engineering</w:t>
        <w:tab/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333333"/>
          <w:sz w:val="18"/>
          <w:szCs w:val="18"/>
          <w:rtl w:val="0"/>
        </w:rPr>
        <w:t xml:space="preserve">Jul 2025 – Present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20" w:lineRule="auto"/>
        <w:rPr/>
      </w:pPr>
      <w:r>
        <w:rPr>
          <w:rFonts w:ascii="Calibri" w:cs="Calibri" w:eastAsia="Calibri" w:hAnsi="Calibri"/>
          <w:b w:val="0"/>
          <w:bCs w:val="0"/>
          <w:i w:val="1"/>
          <w:iCs w:val="1"/>
          <w:smallCaps w:val="0"/>
          <w:color w:val="333333"/>
          <w:sz w:val="17"/>
          <w:szCs w:val="17"/>
          <w:rtl w:val="0"/>
        </w:rPr>
        <w:t xml:space="preserve">Enterprise open-source runtime management &amp; software supply chain security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Repositioned the company off a product with no market fit and onto securing open source components across multiple languages, with new product leadership.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Rebuilt an engineering organization with no process or cross-team collaboration, delivering the prior roadmap's commitments during the pivot.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Rebuilt Gartner analyst narrative around SBOM integrity, runtime lifecycle, and supply chain risk.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Drove AI strategy: MCP architecture, Slack-integrated engineering intake, and AI-assisted product management and coding.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Implemented AI-assisted delivery that surfaced materially simpler architectures than the team had designed, completing the next six months of roadmap in three weeks and shipping the company's first production-ready products.</w:t>
      </w:r>
    </w:p>
    <w:p w:rsidR="00000000" w:rsidDel="00000000" w:rsidP="00000000" w:rsidRDefault="00000000" w:rsidRPr="00000000" w14:paraId="00000013">
      <w:pPr>
        <w:tabs>
          <w:tab w:val="right" w:leader="none" w:pos="10800"/>
        </w:tabs>
        <w:spacing w:after="0" w:before="160" w:lineRule="auto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20"/>
          <w:szCs w:val="20"/>
          <w:rtl w:val="0"/>
        </w:rPr>
        <w:t xml:space="preserve">Trellix,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11111"/>
          <w:sz w:val="20"/>
          <w:szCs w:val="20"/>
          <w:rtl w:val="0"/>
        </w:rPr>
        <w:t xml:space="preserve">VP, XDR Product Management</w:t>
        <w:tab/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333333"/>
          <w:sz w:val="18"/>
          <w:szCs w:val="18"/>
          <w:rtl w:val="0"/>
        </w:rPr>
        <w:t xml:space="preserve">Sep 2024 – Jul 2025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20" w:lineRule="auto"/>
        <w:rPr/>
      </w:pPr>
      <w:r>
        <w:rPr>
          <w:rFonts w:ascii="Calibri" w:cs="Calibri" w:eastAsia="Calibri" w:hAnsi="Calibri"/>
          <w:b w:val="0"/>
          <w:bCs w:val="0"/>
          <w:i w:val="1"/>
          <w:iCs w:val="1"/>
          <w:smallCaps w:val="0"/>
          <w:color w:val="333333"/>
          <w:sz w:val="17"/>
          <w:szCs w:val="17"/>
          <w:rtl w:val="0"/>
        </w:rPr>
        <w:t xml:space="preserve">Portfolio: Endpoint Protection, EDR (SaaS/on-prem/air-gapped), Cloud Workload Security, ePO, XDR, Policy Auditor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Defined XDR roadmap that unified fragmented FireEye/McAfee endpoint lines into a coherent strategy.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Launched the AI-native analyst within the endpoint portfolio that reduced analyst investigation times.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Worked closely with analysts to transform Trellix's position from lagging to thought leader in the space.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Advised on Trellix MDR service creation which compressed time-to-value from years to months.</w:t>
      </w:r>
    </w:p>
    <w:p w:rsidR="00000000" w:rsidDel="00000000" w:rsidP="00000000" w:rsidRDefault="00000000" w:rsidRPr="00000000" w14:paraId="00000019">
      <w:pPr>
        <w:tabs>
          <w:tab w:val="right" w:leader="none" w:pos="10800"/>
        </w:tabs>
        <w:spacing w:after="0" w:before="160" w:lineRule="auto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20"/>
          <w:szCs w:val="20"/>
          <w:rtl w:val="0"/>
        </w:rPr>
        <w:t xml:space="preserve">Malwarebytes,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11111"/>
          <w:sz w:val="20"/>
          <w:szCs w:val="20"/>
          <w:rtl w:val="0"/>
        </w:rPr>
        <w:t xml:space="preserve">VP, Products &amp; Managed Services</w:t>
        <w:tab/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333333"/>
          <w:sz w:val="18"/>
          <w:szCs w:val="18"/>
          <w:rtl w:val="0"/>
        </w:rPr>
        <w:t xml:space="preserve">Jul 2021 – Sep 2024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20" w:lineRule="auto"/>
        <w:rPr/>
      </w:pPr>
      <w:r>
        <w:rPr>
          <w:rFonts w:ascii="Calibri" w:cs="Calibri" w:eastAsia="Calibri" w:hAnsi="Calibri"/>
          <w:b w:val="0"/>
          <w:bCs w:val="0"/>
          <w:i w:val="1"/>
          <w:iCs w:val="1"/>
          <w:smallCaps w:val="0"/>
          <w:color w:val="333333"/>
          <w:sz w:val="17"/>
          <w:szCs w:val="17"/>
          <w:rtl w:val="0"/>
        </w:rPr>
        <w:t xml:space="preserve">P&amp;L ownership; built MDR business from concept to profitability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Refocused portfolio from multi-segment sprawl to disciplined SMB strategy.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>
          <w:u w:val="none"/>
        </w:rPr>
      </w:pPr>
      <w:r>
        <w:rPr>
          <w:rtl w:val="0"/>
        </w:rPr>
        <w:t xml:space="preserve">Founded and launched the managed services business, i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mprov</w:t>
      </w:r>
      <w:r>
        <w:rPr>
          <w:rtl w:val="0"/>
        </w:rPr>
        <w:t xml:space="preserve">ing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unit economics by 60%, margins over 90%, improved EBITDA and customer retention from ~60% to &gt;90%.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Reduced time-to-market from years to months through reformed product management and engineering processes.</w:t>
      </w:r>
    </w:p>
    <w:p w:rsidR="00000000" w:rsidDel="00000000" w:rsidP="00000000" w:rsidRDefault="00000000" w:rsidRPr="00000000" w14:paraId="0000001E">
      <w:pPr>
        <w:tabs>
          <w:tab w:val="right" w:leader="none" w:pos="10800"/>
        </w:tabs>
        <w:spacing w:after="0" w:before="160" w:lineRule="auto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20"/>
          <w:szCs w:val="20"/>
          <w:rtl w:val="0"/>
        </w:rPr>
        <w:t xml:space="preserve">Symantec / NortonLifeLock,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11111"/>
          <w:sz w:val="20"/>
          <w:szCs w:val="20"/>
          <w:rtl w:val="0"/>
        </w:rPr>
        <w:t xml:space="preserve">Director, Product and Services PM</w:t>
        <w:tab/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333333"/>
          <w:sz w:val="18"/>
          <w:szCs w:val="18"/>
          <w:rtl w:val="0"/>
        </w:rPr>
        <w:t xml:space="preserve">Oct 2015 – Jun 2021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20" w:lineRule="auto"/>
        <w:rPr/>
      </w:pPr>
      <w:r>
        <w:rPr>
          <w:rFonts w:ascii="Calibri" w:cs="Calibri" w:eastAsia="Calibri" w:hAnsi="Calibri"/>
          <w:b w:val="0"/>
          <w:bCs w:val="0"/>
          <w:i w:val="1"/>
          <w:iCs w:val="1"/>
          <w:smallCaps w:val="0"/>
          <w:color w:val="333333"/>
          <w:sz w:val="17"/>
          <w:szCs w:val="17"/>
          <w:rtl w:val="0"/>
        </w:rPr>
        <w:t xml:space="preserve">EDR, Network Forensics, Cyber Insurance, Safe Search, Norton for Gamers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Launched </w:t>
      </w:r>
      <w:r>
        <w:rPr>
          <w:rtl w:val="0"/>
        </w:rPr>
        <w:t xml:space="preserve">5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 managed services and products with combined revenue</w:t>
      </w:r>
      <w:r>
        <w:rPr>
          <w:rtl w:val="0"/>
        </w:rPr>
        <w:t xml:space="preserve">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over $</w:t>
      </w:r>
      <w:r>
        <w:rPr>
          <w:rtl w:val="0"/>
        </w:rPr>
        <w:t xml:space="preserve">10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0m and YoY growth of ~12%. Acquired by Broadcom/Accenture, </w:t>
      </w:r>
      <w:r>
        <w:rPr>
          <w:rtl w:val="0"/>
        </w:rPr>
        <w:t xml:space="preserve">Aon and HLC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tabs>
          <w:tab w:val="right" w:leader="none" w:pos="10800"/>
        </w:tabs>
        <w:spacing w:after="0" w:before="160" w:lineRule="auto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20"/>
          <w:szCs w:val="20"/>
          <w:rtl w:val="0"/>
        </w:rPr>
        <w:t xml:space="preserve">Symantec,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11111"/>
          <w:sz w:val="20"/>
          <w:szCs w:val="20"/>
          <w:rtl w:val="0"/>
        </w:rPr>
        <w:t xml:space="preserve">Field CTO</w:t>
      </w:r>
      <w:r>
        <w:rPr>
          <w:color w:val="111111"/>
          <w:sz w:val="20"/>
          <w:szCs w:val="20"/>
          <w:rtl w:val="0"/>
        </w:rPr>
        <w:tab/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333333"/>
          <w:sz w:val="18"/>
          <w:szCs w:val="18"/>
          <w:rtl w:val="0"/>
        </w:rPr>
        <w:t xml:space="preserve">Jan 2011 – Oct 2015</w:t>
      </w:r>
      <w:r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10800"/>
        </w:tabs>
        <w:spacing w:after="0" w:before="160" w:lineRule="auto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20"/>
          <w:szCs w:val="20"/>
          <w:rtl w:val="0"/>
        </w:rPr>
        <w:t xml:space="preserve">Wellington Management Company &amp; Trust Bank,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11111"/>
          <w:sz w:val="20"/>
          <w:szCs w:val="20"/>
          <w:rtl w:val="0"/>
        </w:rPr>
        <w:t xml:space="preserve">VP &amp; CISO</w:t>
        <w:tab/>
        <w:t xml:space="preserve"/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333333"/>
          <w:sz w:val="18"/>
          <w:szCs w:val="18"/>
          <w:rtl w:val="0"/>
        </w:rPr>
        <w:t xml:space="preserve">Oct 2003 – Jan 2011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10800"/>
        </w:tabs>
        <w:spacing w:after="0" w:before="160" w:lineRule="auto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color w:val="111111"/>
          <w:sz w:val="20"/>
          <w:szCs w:val="20"/>
          <w:rtl w:val="0"/>
        </w:rPr>
        <w:t xml:space="preserve">Burntsand,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111111"/>
          <w:sz w:val="20"/>
          <w:szCs w:val="20"/>
          <w:rtl w:val="0"/>
        </w:rPr>
        <w:t xml:space="preserve">Security Solutions Director</w:t>
        <w:tab/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333333"/>
          <w:sz w:val="18"/>
          <w:szCs w:val="18"/>
          <w:rtl w:val="0"/>
        </w:rPr>
        <w:t xml:space="preserve">Sep 1999 – Oct 2003</w:t>
      </w:r>
      <w:r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240" w:lineRule="auto"/>
        <w:rPr/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1"/>
          <w:color w:val="111111"/>
          <w:sz w:val="20"/>
          <w:szCs w:val="20"/>
          <w:rtl w:val="0"/>
        </w:rPr>
        <w:t xml:space="preserve">EDUCATION &amp; CREDENTIALS</w:t>
      </w:r>
      <w:r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999999" w:space="0" w:sz="6" w:val="single"/>
        </w:pBdr>
        <w:spacing w:after="100" w:before="20" w:lineRule="auto"/>
        <w:rPr/>
      </w:pPr>
      <w:r>
        <w:rPr>
          <w:rtl w:val="0"/>
          <w:sz w:val="2"/>
          <w:szCs w:val="2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B.S., University of Massachusetts, 2004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0" w:lineRule="auto"/>
        <w:ind w:left="260" w:right="0" w:hanging="20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Patent: US 10,466,924, Systems and Methods for Generating Memory Images of Computing Devices</w:t>
      </w:r>
    </w:p>
    <w:sectPr>
      <w:pgSz w:h="15840" w:w="12240" w:orient="portrait"/>
      <w:pgMar w:bottom="720" w:top="720" w:left="720" w:right="720" w:header="480" w:footer="4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  <w:sz w:val="19"/>
        <w:szCs w:val="19"/>
      </w:rPr>
    </w:rPrDefault>
    <w:pPrDefault>
      <w:pPr>
        <w:spacing w:line="25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mVWG6AFBxby0JIK5JZg4hjRlmw==">CgMxLjA4AHIhMUZ3dlVtT3AzY3NMU3I0NVA3UEx3S3dVeGtmNTNrUi1W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2026-09-17T10:50:00.612Z</dcterms:created>
  <dc:creator>Robert J. Shaker II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