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Robert J. Shaker</w:t>
      </w:r>
    </w:p>
    <w:p>
      <w:pPr>
        <w:spacing w:after="260"/>
      </w:pPr>
      <w:r>
        <w:rPr>
          <w:rFonts w:ascii="Consolas" w:cs="Consolas" w:eastAsia="Consolas" w:hAnsi="Consolas"/>
          <w:b w:val="false"/>
          <w:bCs w:val="false"/>
          <w:i w:val="false"/>
          <w:iCs w:val="false"/>
          <w:caps w:val="false"/>
          <w:color w:val="7F838D"/>
          <w:sz w:val="16"/>
          <w:szCs w:val="16"/>
        </w:rPr>
        <w:t xml:space="preserve">GRC and information security analyst  ·  Boston area prioritised  ·  $94,500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twenty people or so,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in the security function while that was happening, and I built some of the automation myself. The threat intelligence pipeline, the news feed tooling, and a lot of the vendor risk workflow that moved onto Vanta. So I saw exactly where the manual load came off.</w:t>
      </w:r>
    </w:p>
    <w:p>
      <w:pPr>
        <w:spacing w:after="120" w:before="0" w:line="300"/>
      </w:pPr>
      <w:r>
        <w:rPr>
          <w:rFonts w:ascii="Calibri" w:cs="Calibri" w:eastAsia="Calibri" w:hAnsi="Calibri"/>
          <w:b w:val="false"/>
          <w:bCs w:val="false"/>
          <w:i w:val="false"/>
          <w:iCs w:val="false"/>
          <w:caps w:val="false"/>
          <w:color w:val="4B4F59"/>
          <w:sz w:val="20"/>
          <w:szCs w:val="20"/>
        </w:rPr>
        <w:t xml:space="preserve">It came off evidence gathering and questionnaire routing, and it came off fast. What stayed is the assessment itself. Judging whether a vendor's answer is actually good enough, and sitting across from an auditor. I have run 95 vendor assessments and 30 customer questionnaires. That is the part I am good at."</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one of them. I was in the security team through it and built some of the automation myself.</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about individuals.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evidence gathering and the routing. It did not take the judgment. Somebody still has to decide whether a vendor's answer is acceptable, and somebody still has to sit with the auditor. I would rather be the person who knows which is which.</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Keep it short. Analyst screens move fast, and a long answer to this question reads as anxious no matter how good the words are. Stop after "that is the part I am good at" and let them take it from there.</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When you give my name, say I was your CPTO at ActiveState in the same breath. We share a surname and you want that to arrive as context rather than as something a recruiter works out on their own.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resume is costing you more than your experience is</w:t>
      </w:r>
    </w:p>
    <w:p>
      <w:pPr>
        <w:spacing w:after="120" w:before="0" w:line="300"/>
      </w:pPr>
      <w:r>
        <w:rPr>
          <w:rFonts w:ascii="Calibri" w:cs="Calibri" w:eastAsia="Calibri" w:hAnsi="Calibri"/>
          <w:b w:val="false"/>
          <w:bCs w:val="false"/>
          <w:i w:val="false"/>
          <w:iCs w:val="false"/>
          <w:caps w:val="false"/>
          <w:color w:val="4B4F59"/>
          <w:sz w:val="20"/>
          <w:szCs w:val="20"/>
        </w:rPr>
        <w:t xml:space="preserve">Forty-seven roles clear your floor today. The thing deciding which of them you can actually reach is not skill, it is a number on a page: your resume carries one dated line, ActiveState 2025 to Present, and everything else is skills. A recruiter subtracts, gets eighteen months, and stops.</w:t>
      </w:r>
    </w:p>
    <w:p>
      <w:pPr>
        <w:spacing w:after="120" w:before="0" w:line="300"/>
      </w:pPr>
      <w:r>
        <w:rPr>
          <w:rFonts w:ascii="Calibri" w:cs="Calibri" w:eastAsia="Calibri" w:hAnsi="Calibri"/>
          <w:b w:val="false"/>
          <w:bCs w:val="false"/>
          <w:i w:val="false"/>
          <w:iCs w:val="false"/>
          <w:caps w:val="false"/>
          <w:color w:val="4B4F59"/>
          <w:sz w:val="20"/>
          <w:szCs w:val="20"/>
        </w:rPr>
        <w:t xml:space="preserve">What that line hides: 95 completed vendor risk assessments, 30-plus customer questionnaires, SOC 2 Type 2 daily operations in Vanta, 100% compliance for eight consecutive months, and a third-party risk process you designed rather than inherited. Most people with five years have not run 95 assessments. The work is senior. The page is not.</w:t>
      </w:r>
    </w:p>
    <w:p>
      <w:pPr>
        <w:spacing w:after="120" w:before="0" w:line="300"/>
      </w:pPr>
      <w:r>
        <w:rPr>
          <w:rFonts w:ascii="Calibri" w:cs="Calibri" w:eastAsia="Calibri" w:hAnsi="Calibri"/>
          <w:b w:val="false"/>
          <w:bCs w:val="false"/>
          <w:i w:val="false"/>
          <w:iCs w:val="false"/>
          <w:caps w:val="false"/>
          <w:color w:val="4B4F59"/>
          <w:sz w:val="20"/>
          <w:szCs w:val="20"/>
        </w:rPr>
        <w:t xml:space="preserve">So two things follow. Target the roles asking four years rather than five or six, because that gap is arguable and a two-year gap is not. And move the numbers to where a reader hits them in the first six seconds instead of paragraph four of a skills block. That edit is worth more this week than any single application in this document.</w:t>
      </w:r>
    </w:p>
    <w:p>
      <w:pPr>
        <w:spacing w:after="120" w:before="0" w:line="300"/>
      </w:pPr>
      <w:r>
        <w:rPr>
          <w:rFonts w:ascii="Calibri" w:cs="Calibri" w:eastAsia="Calibri" w:hAnsi="Calibri"/>
          <w:b w:val="false"/>
          <w:bCs w:val="false"/>
          <w:i w:val="false"/>
          <w:iCs w:val="false"/>
          <w:caps w:val="false"/>
          <w:color w:val="4B4F59"/>
          <w:sz w:val="20"/>
          <w:szCs w:val="20"/>
        </w:rPr>
        <w:t xml:space="preserve">One more thing worth knowing: AI governance has become a named GRC specialty. Thirteen of your 125 roles name it, and five of those are in Boston. You have just come out of a company that restructured itself around AI. Nobody else applying for those roles can say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2,634</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1,562</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63 of 125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Half your market states no number</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$94,500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47</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gate now excludes roles requiring a programming language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In Boston, MA or RI</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prioritised region</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Name AI governance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 specialty that barely existed in your July sweeps</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Security Analyst, Third-Party Ecosystem Risk Management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Plaid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$118,680 - $175,800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THE ONE TO APPLY TO</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City Metropolitan Area   ·   highest match in your list by a wide margin</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s8ybzbmlckndlxx3jndua">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the single best-matched role in 125, and not only on keywords. It asks four years where the others ask five or six, and it writes an escape hatch into the requirement you cannot otherwise satisfy: it will accept hands-on ownership of a TPRM platform instead of a certification. You own one. You built the process on it.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the posting does not say remote. Find that out first. Four years against your eighteen months is still a stretch, which is why the 95 assessments have to be in the first line of your application rather than buried.</w:t>
      </w:r>
    </w:p>
    <w:p>
      <w:pPr>
        <w:spacing w:after="60" w:before="0"/>
        <w:ind w:left="320"/>
      </w:pPr>
      <w:r>
        <w:rPr>
          <w:rFonts w:ascii="Calibri" w:cs="Calibri" w:eastAsia="Calibri" w:hAnsi="Calibri"/>
          <w:b w:val="false"/>
          <w:bCs w:val="false"/>
          <w:i/>
          <w:iCs/>
          <w:caps w:val="false"/>
          <w:color w:val="7F838D"/>
          <w:sz w:val="18"/>
          <w:szCs w:val="18"/>
        </w:rPr>
        <w:t xml:space="preserve">“4+ years of experience in vendor risk management”</w:t>
      </w:r>
    </w:p>
    <w:p>
      <w:pPr>
        <w:spacing w:after="60" w:before="0"/>
        <w:ind w:left="320"/>
      </w:pPr>
      <w:r>
        <w:rPr>
          <w:rFonts w:ascii="Calibri" w:cs="Calibri" w:eastAsia="Calibri" w:hAnsi="Calibri"/>
          <w:b w:val="false"/>
          <w:bCs w:val="false"/>
          <w:i/>
          <w:iCs/>
          <w:caps w:val="false"/>
          <w:color w:val="7F838D"/>
          <w:sz w:val="18"/>
          <w:szCs w:val="18"/>
        </w:rPr>
        <w:t xml:space="preserve">“A third-party-risk or audit credential (CTPRP, CISA, or CISSP), or hands-on ownership of a TPRM platform”</w:t>
      </w:r>
    </w:p>
    <w:p>
      <w:pPr>
        <w:spacing w:after="60" w:before="0"/>
        <w:ind w:left="320"/>
      </w:pPr>
      <w:r>
        <w:rPr>
          <w:rFonts w:ascii="Calibri" w:cs="Calibri" w:eastAsia="Calibri" w:hAnsi="Calibri"/>
          <w:b w:val="false"/>
          <w:bCs w:val="false"/>
          <w:i/>
          <w:iCs/>
          <w:caps w:val="false"/>
          <w:color w:val="7F838D"/>
          <w:sz w:val="18"/>
          <w:szCs w:val="18"/>
        </w:rPr>
        <w:t xml:space="preserve">“Working knowledge of SOC 2, ISO 27001, NIST CSF, and common control domains (access control, encryption, incident response, BC/DR).”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Information Security Analyst, AI Governance</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Form Energy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$111,826 - $139,777</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THE NEW LANE, IN YOUR CITY</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Somerville, MA   ·   first seen 29 Sep</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q7n2-iij6snn_hk5exzsf">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AI governance is a real and very new specialty, and this one is a twenty minute drive. You are one of a small number of GRC people who has watched an AI transformation from inside the security function rather than reading about it. Say that in the first paragraph.</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posting publishes no explicit years requirement, which usually means the bar comes out in the screen rather than on the page. Go in knowing the tenure question is coming.</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GRC Analyst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Planet Fitness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$90,000 - $110,000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REALISTIC, IN YOUR CITY</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first seen 29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jofwzayhj7ccnhgj9cebm">
        <w:r>
          <w:rPr>
            <w:rFonts w:ascii="Consolas" w:cs="Consolas" w:eastAsia="Consolas" w:hAnsi="Consolas"/>
            <w:color w:val="1F4E63"/>
            <w:sz w:val="16"/>
            <w:szCs w:val="16"/>
            <w:u w:val="single"/>
          </w:rPr>
          <w:t xml:space="preserve">View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Straightforward GRC analyst work in Boston at a band whose top clears your floor comfortably. Not glamorous, and the most likely of the Boston roles to actually convert given where your tenure sits.</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bottom of the band, $90,000, is under your floor. Only the upper half works.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Good roles where the years line is the problem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dy7cedidkdikoozf8qvbk">
              <w:r>
                <w:rPr>
                  <w:rFonts w:ascii="Calibri" w:cs="Calibri" w:eastAsia="Calibri" w:hAnsi="Calibri"/>
                  <w:b/>
                  <w:bCs/>
                  <w:color w:val="1F4E63"/>
                  <w:sz w:val="19"/>
                  <w:szCs w:val="19"/>
                  <w:u w:val="single"/>
                </w:rPr>
                <w:t xml:space="preserve">Information Security Analyst, Boston Partners</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$125,000 - $175,000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Best band in Boston by a distance. Asks “Five or more years of relevant cybersecurity experience”, spelled in words, which is exactly the construction the automated scan misses. It scored this role as having no years requirement at all.</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tibppiyrruoigxqesg-ma">
              <w:r>
                <w:rPr>
                  <w:rFonts w:ascii="Calibri" w:cs="Calibri" w:eastAsia="Calibri" w:hAnsi="Calibri"/>
                  <w:b/>
                  <w:bCs/>
                  <w:color w:val="1F4E63"/>
                  <w:sz w:val="19"/>
                  <w:szCs w:val="19"/>
                  <w:u w:val="single"/>
                </w:rPr>
                <w:t xml:space="preserve">AI Risk &amp; Compliance Analyst, WHOOP</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$100,000 - $140,000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Highest match score in Boston and the most interesting job on this page. Asks 6+ years in GRC. That is the widest gap in your top tier and I would not lead with it.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xlueniglywhnzphwehfym">
              <w:r>
                <w:rPr>
                  <w:rFonts w:ascii="Calibri" w:cs="Calibri" w:eastAsia="Calibri" w:hAnsi="Calibri"/>
                  <w:b/>
                  <w:bCs/>
                  <w:color w:val="1F4E63"/>
                  <w:sz w:val="19"/>
                  <w:szCs w:val="19"/>
                  <w:u w:val="single"/>
                </w:rPr>
                <w:t xml:space="preserve">GRC Analyst, Benesch Law</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$99,000 - $120,000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Cleveland. Listed because it is the posting that says a certification counts whether in progress or completed, which is the whole argument for registering for the CTPRP now rather than after passing it.</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athihznkyqnnr8nsjegml">
              <w:r>
                <w:rPr>
                  <w:rFonts w:ascii="Calibri" w:cs="Calibri" w:eastAsia="Calibri" w:hAnsi="Calibri"/>
                  <w:b/>
                  <w:bCs/>
                  <w:color w:val="1F4E63"/>
                  <w:sz w:val="19"/>
                  <w:szCs w:val="19"/>
                  <w:u w:val="single"/>
                </w:rPr>
                <w:t xml:space="preserve">Information Security Risk and Compliance Analyst, CarGurus</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$84,000 - $106,000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Boston. The scan scored this at fifteen years, which came from the sentence “we have been profitable for over 15 years”. It is a company fact, not a requirement. What it actually asks for is a certification.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Where the automated gate earned its keep</w:t>
      </w:r>
    </w:p>
    <w:p>
      <w:pPr>
        <w:spacing w:after="120" w:before="0" w:line="300"/>
      </w:pPr>
      <w:r>
        <w:rPr>
          <w:rFonts w:ascii="Calibri" w:cs="Calibri" w:eastAsia="Calibri" w:hAnsi="Calibri"/>
          <w:b w:val="false"/>
          <w:bCs w:val="false"/>
          <w:i w:val="false"/>
          <w:iCs w:val="false"/>
          <w:caps w:val="false"/>
          <w:color w:val="4B4F59"/>
          <w:sz w:val="20"/>
          <w:szCs w:val="20"/>
        </w:rPr>
        <w:t xml:space="preserve">Five of your 125 were gated automatically. Your gate now rules out roles requiring a programming or scripting language rather than treating them as near misses, which is the change made on 28 September.</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Cybersecurity Governance Analyst</w:t>
      </w:r>
      <w:r>
        <w:rPr>
          <w:rFonts w:ascii="Consolas" w:cs="Consolas" w:eastAsia="Consolas" w:hAnsi="Consolas"/>
          <w:b w:val="false"/>
          <w:bCs w:val="false"/>
          <w:i w:val="false"/>
          <w:iCs w:val="false"/>
          <w:caps/>
          <w:color w:val="7F838D"/>
          <w:spacing w:val="18"/>
          <w:sz w:val="15"/>
          <w:szCs w:val="15"/>
        </w:rPr>
        <w:t xml:space="preserve">     Agero, Inc.</w:t>
      </w:r>
      <w:r>
        <w:rPr>
          <w:rFonts w:ascii="Consolas" w:cs="Consolas" w:eastAsia="Consolas" w:hAnsi="Consolas"/>
          <w:b w:val="false"/>
          <w:bCs w:val="false"/>
          <w:i w:val="false"/>
          <w:iCs w:val="false"/>
          <w:caps w:val="false"/>
          <w:color w:val="7F838D"/>
          <w:sz w:val="15"/>
          <w:szCs w:val="15"/>
        </w:rPr>
        <w:t xml:space="preserve">     $75,000 - $95,000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Medford, so geography works, but the band tops out $500 above your floor. Listed rather than hidden so you can overrule me if the role is right.</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xi1nqkpyyi_w55h0ce-az">
        <w:r>
          <w:rPr>
            <w:rFonts w:ascii="Consolas" w:cs="Consolas" w:eastAsia="Consolas" w:hAnsi="Consolas"/>
            <w:color w:val="1F4E63"/>
            <w:sz w:val="16"/>
            <w:szCs w:val="16"/>
            <w:u w:val="single"/>
          </w:rPr>
          <w:t xml:space="preserve">View the posting</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Fix the resume before you send another application. One dated line reading 2025 to Present is doing more damage than any gap in your skills, and the 95 assessments need to be visible in six seconds rather than in paragraph four. I can do that edit today if you want it.</w:t>
      </w:r>
    </w:p>
    <w:p>
      <w:pPr>
        <w:spacing w:after="120" w:before="0" w:line="300"/>
      </w:pPr>
      <w:r>
        <w:rPr>
          <w:rFonts w:ascii="Calibri" w:cs="Calibri" w:eastAsia="Calibri" w:hAnsi="Calibri"/>
          <w:b w:val="false"/>
          <w:bCs w:val="false"/>
          <w:i w:val="false"/>
          <w:iCs w:val="false"/>
          <w:caps w:val="false"/>
          <w:color w:val="4B4F59"/>
          <w:sz w:val="20"/>
          <w:szCs w:val="20"/>
        </w:rPr>
        <w:t xml:space="preserve">Then Plaid, and put the platform ownership sentence in the first line of the application. It is the only posting in 125 that tells you in writing how to get past the credential you do not have, and you happen to satisfy the alternative.</w:t>
      </w:r>
    </w:p>
    <w:p>
      <w:pPr>
        <w:spacing w:after="120" w:before="0" w:line="300"/>
      </w:pPr>
      <w:r>
        <w:rPr>
          <w:rFonts w:ascii="Calibri" w:cs="Calibri" w:eastAsia="Calibri" w:hAnsi="Calibri"/>
          <w:b w:val="false"/>
          <w:bCs w:val="false"/>
          <w:i w:val="false"/>
          <w:iCs w:val="false"/>
          <w:caps w:val="false"/>
          <w:color w:val="4B4F59"/>
          <w:sz w:val="20"/>
          <w:szCs w:val="20"/>
        </w:rPr>
        <w:t xml:space="preserve">Then Form Energy, because AI governance is new enough that the field is small, it is in Somerville, and you have a story about living through an AI restructuring from inside a security function that almost nobody applying can match.</w:t>
      </w:r>
    </w:p>
    <w:p>
      <w:pPr>
        <w:spacing w:after="60" w:before="0" w:line="300"/>
      </w:pPr>
      <w:r>
        <w:rPr>
          <w:rFonts w:ascii="Calibri" w:cs="Calibri" w:eastAsia="Calibri" w:hAnsi="Calibri"/>
          <w:b w:val="false"/>
          <w:bCs w:val="false"/>
          <w:i w:val="false"/>
          <w:iCs w:val="false"/>
          <w:caps w:val="false"/>
          <w:color w:val="4B4F59"/>
          <w:sz w:val="20"/>
          <w:szCs w:val="20"/>
        </w:rPr>
        <w:t xml:space="preserve">Register for the CTPRP this week. Benesch says in writing that in progress counts. It is the fastest line you can add that does not depend on tenure, and tenure is the thing holding you back everywhere else in this document.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8ybzbmlckndlxx3jndua" Type="http://schemas.openxmlformats.org/officeDocument/2006/relationships/hyperlink" Target="https://www.linkedin.com/jobs/view/security-analyst-third-party-ecosystem-risk-management-at-plaid-4453386951" TargetMode="External"/><Relationship Id="rIdq7n2-iij6snn_hk5exzsf" Type="http://schemas.openxmlformats.org/officeDocument/2006/relationships/hyperlink" Target="https://www.linkedin.com/jobs/view/information-security-analyst-ai-governance-at-form-energy-4459390199" TargetMode="External"/><Relationship Id="rIdjofwzayhj7ccnhgj9cebm" Type="http://schemas.openxmlformats.org/officeDocument/2006/relationships/hyperlink" Target="https://www.linkedin.com/jobs/view/grc-analyst-at-planet-fitness-4466226484" TargetMode="External"/><Relationship Id="rIddy7cedidkdikoozf8qvbk" Type="http://schemas.openxmlformats.org/officeDocument/2006/relationships/hyperlink" Target="https://www.linkedin.com/jobs/view/information-security-analyst-at-boston-partners-4452107126" TargetMode="External"/><Relationship Id="rIdtibppiyrruoigxqesg-ma" Type="http://schemas.openxmlformats.org/officeDocument/2006/relationships/hyperlink" Target="https://www.linkedin.com/jobs/view/ai-risk-compliance-analyst-at-whoop-4444951758" TargetMode="External"/><Relationship Id="rIdxlueniglywhnzphwehfym" Type="http://schemas.openxmlformats.org/officeDocument/2006/relationships/hyperlink" Target="https://www.linkedin.com/jobs/view/grc-analyst-at-benesch-law-4464071809" TargetMode="External"/><Relationship Id="rIdathihznkyqnnr8nsjegml" Type="http://schemas.openxmlformats.org/officeDocument/2006/relationships/hyperlink" Target="https://www.linkedin.com/jobs/view/information-security-risk-and-compliance-analyst-at-cargurus-4446678495" TargetMode="External"/><Relationship Id="rIdxi1nqkpyyi_w55h0ce-az" Type="http://schemas.openxmlformats.org/officeDocument/2006/relationships/hyperlink" Target="https://www.linkedin.com/jobs/view/cybersecurity-governance-analyst-at-agero-inc-4458738258"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2026-09-29T22:15:14.191Z</dcterms:created>
  <dcterms:modified xsi:type="dcterms:W3CDTF">2026-09-29T22:15:14.192Z</dcterms:modified>
</cp:coreProperties>
</file>

<file path=docProps/custom.xml><?xml version="1.0" encoding="utf-8"?>
<Properties xmlns="http://schemas.openxmlformats.org/officeDocument/2006/custom-properties" xmlns:vt="http://schemas.openxmlformats.org/officeDocument/2006/docPropsVTypes"/>
</file>