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lineRule="auto"/>
        <w:jc w:val="center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4"/>
          <w:szCs w:val="34"/>
          <w:rtl w:val="0"/>
        </w:rPr>
        <w:t xml:space="preserve">ROBERT J. SHAKER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rshaker2@gmail.com  ·  508-615-0506  ·  linkedin.com/in/rshaker2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86c1" w:space="2" w:sz="6" w:val="single"/>
        </w:pBdr>
        <w:spacing w:after="40" w:before="160" w:lineRule="auto"/>
        <w:rPr>
          <w:rFonts w:ascii="Arial" w:cs="Arial" w:eastAsia="Arial" w:hAnsi="Arial"/>
          <w:b w:val="1"/>
          <w:bCs w:val="1"/>
          <w:color w:val="fffff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rtl w:val="0"/>
        </w:rPr>
        <w:t xml:space="preserve">KEY HIGHLIGHTS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rtl w:val="0"/>
        </w:rPr>
        <w:t xml:space="preserve">6/27/26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30" w:before="140" w:lineRule="auto"/>
        <w:ind w:left="720" w:hanging="360"/>
        <w:rPr>
          <w:rFonts w:ascii="Arial" w:cs="Arial" w:eastAsia="Arial" w:hAnsi="Arial"/>
          <w:color w:val="11111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Scaled 4 PE-backed businesses from $10M to $500M+ at 12-50% YoY growth, including zero to $100M+ in under 5 years, while improving margins from negative EBITDA to profitability across multiple engagements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30" w:before="140" w:lineRule="auto"/>
        <w:ind w:left="720" w:hanging="360"/>
        <w:rPr>
          <w:rFonts w:ascii="Arial" w:cs="Arial" w:eastAsia="Arial" w:hAnsi="Arial"/>
          <w:color w:val="11111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Built the global enablement engine behind every services launch of the last decade: 350 sellers certified across Symantec and Malwarebytes, GSI and MSP partner networks activated through Accenture, PwC and Pax8, now as founder of FluentOrg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30" w:before="140" w:lineRule="auto"/>
        <w:ind w:left="720" w:hanging="360"/>
        <w:rPr>
          <w:rFonts w:ascii="Arial" w:cs="Arial" w:eastAsia="Arial" w:hAnsi="Arial"/>
          <w:color w:val="11111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Led AI transformation programs at scale, deploying cross functional AI-driven tooling that reduced ship times by 75%, compressed time-to-market from years to months, and cut analyst investigation times from hours to minutes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30" w:before="140" w:lineRule="auto"/>
        <w:ind w:left="720" w:hanging="360"/>
        <w:rPr>
          <w:rFonts w:ascii="Arial" w:cs="Arial" w:eastAsia="Arial" w:hAnsi="Arial"/>
          <w:color w:val="11111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Built, launched, and restructured high-performing engineering and product organizations, scaling teams from zero to 50+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30" w:before="140" w:lineRule="auto"/>
        <w:ind w:left="720" w:hanging="360"/>
        <w:rPr>
          <w:rFonts w:ascii="Arial" w:cs="Arial" w:eastAsia="Arial" w:hAnsi="Arial"/>
          <w:color w:val="11111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Deep GTM and analyst influence experience, driving pipeline growth and repositioning lagging products to category leadership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30" w:before="140" w:lineRule="auto"/>
        <w:ind w:left="720" w:hanging="360"/>
        <w:rPr>
          <w:rFonts w:ascii="Arial" w:cs="Arial" w:eastAsia="Arial" w:hAnsi="Arial"/>
          <w:color w:val="11111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Drives measurable customer retention improvements from 60% to &gt;90% via product and service-led engagement 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2e86c1" w:space="2" w:sz="6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10080"/>
        </w:tabs>
        <w:spacing w:after="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Caldermont Management and FluentOrg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Aug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10080"/>
        </w:tabs>
        <w:spacing w:after="40" w:lineRule="auto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Fractional CPO, CTO, CMO and GM engagements, management transformation, and Organizational AI enablement.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60" w:lineRule="auto"/>
        <w:ind w:left="400" w:right="0" w:hanging="22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Founded a fractional executive firm that places CPO, CTO, CMO and GM leadership into companies on project or retainer with full accountability for the function's outcomes and a documented handoff to the full-time hire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60" w:lineRule="auto"/>
        <w:ind w:left="400" w:right="0" w:hanging="22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Built FluentOrg, the AI enablement platform: 28 role-based modules across 13 business functions, 18 graded exams, three certification levels, and a cross-functional handoff contract so each team's output is consumable by the next team's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10080"/>
        </w:tabs>
        <w:spacing w:after="3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ActiveState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Chief Product &amp; Technology Officer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Jul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Enterprise open-source runtime management &amp; software supply chain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30" w:before="30" w:line="260" w:lineRule="auto"/>
        <w:ind w:left="400" w:hanging="220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Restructured the product and engineering team into a high performing AI organization enabling 65% increase in product development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30" w:before="30" w:line="260" w:lineRule="auto"/>
        <w:ind w:left="400" w:hanging="220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Rebuilt Gartner analyst narrative around SBOM integrity, runtime lifecycle, and supply chain risk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30" w:before="30" w:line="260" w:lineRule="auto"/>
        <w:ind w:left="400" w:hanging="220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Drove AI strategy: MCP architecture, Slack-integrated engineering intake, and AI-assisted product management and coding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30" w:before="30" w:line="260" w:lineRule="auto"/>
        <w:ind w:left="400" w:hanging="220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Led acceleration of roadmap reducing time to market by 85%, delivering the company's first new production ready products</w:t>
      </w:r>
    </w:p>
    <w:p w:rsidR="00000000" w:rsidDel="00000000" w:rsidP="00000000" w:rsidRDefault="00000000" w:rsidRPr="00000000" w14:paraId="00000015">
      <w:pPr>
        <w:widowControl w:val="0"/>
        <w:tabs>
          <w:tab w:val="right" w:leader="none" w:pos="10080"/>
        </w:tabs>
        <w:spacing w:before="140" w:lineRule="auto"/>
        <w:rPr>
          <w:rFonts w:ascii="Arial" w:cs="Arial" w:eastAsia="Arial" w:hAnsi="Arial"/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10080"/>
        </w:tabs>
        <w:spacing w:after="3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Trellix,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VP, XDR Product Management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Sep 2024 – Jul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Portfolio: Endpoint Protection, EDR (SaaS/on-prem/air-gapped), Cloud Workload Security, ePO, XDR, Policy Auditor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before="30" w:line="260" w:lineRule="auto"/>
        <w:ind w:left="400" w:hanging="220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Defined forward XDR roadmap that unified fragmented FireEye/McAfee endpoint lines into a coherent strategy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before="30" w:line="260" w:lineRule="auto"/>
        <w:ind w:left="400" w:hanging="220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Launched the AI native analyst within the endpoint portfolio that reduced analyst investigation times from hours to minutes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before="30" w:line="260" w:lineRule="auto"/>
        <w:ind w:left="400" w:hanging="220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Worked closely with analysts to transform Trellix's position from lagging to thought leader in the space</w:t>
      </w:r>
    </w:p>
    <w:p w:rsidR="00000000" w:rsidDel="00000000" w:rsidP="00000000" w:rsidRDefault="00000000" w:rsidRPr="00000000" w14:paraId="0000001B">
      <w:pPr>
        <w:tabs>
          <w:tab w:val="right" w:leader="none" w:pos="10080"/>
        </w:tabs>
        <w:spacing w:before="140" w:lineRule="auto"/>
        <w:rPr>
          <w:rFonts w:ascii="Arial" w:cs="Arial" w:eastAsia="Arial" w:hAnsi="Arial"/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10080"/>
        </w:tabs>
        <w:spacing w:after="3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Malwarebytes,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VP, Products &amp; Managed Services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Jul 2021 – Sep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P&amp;L ownership; built MDR business from concept to profitability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before="30" w:line="260" w:lineRule="auto"/>
        <w:ind w:left="400" w:hanging="220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Refocused portfolio from multi-segment sprawl to disciplined SMB strategy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before="30" w:line="260" w:lineRule="auto"/>
        <w:ind w:left="400" w:hanging="220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Improved unit economics by 60% to margins over 90%, built on a global enablement model that certified 250 sellers and put delivery in partner hands through Pax8 and the MSP channel rather than growing services headcount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before="30" w:line="260" w:lineRule="auto"/>
        <w:ind w:left="400" w:hanging="220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Improved EBITDA and customer retention from ~60% to &gt;90%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before="30" w:line="260" w:lineRule="auto"/>
        <w:ind w:left="400" w:hanging="220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Reduced time-to-market from years to months through reformed product management and engineering processes</w:t>
      </w:r>
    </w:p>
    <w:p w:rsidR="00000000" w:rsidDel="00000000" w:rsidP="00000000" w:rsidRDefault="00000000" w:rsidRPr="00000000" w14:paraId="00000022">
      <w:pPr>
        <w:tabs>
          <w:tab w:val="right" w:leader="none" w:pos="10080"/>
        </w:tabs>
        <w:spacing w:after="30" w:before="140" w:lineRule="auto"/>
        <w:rPr>
          <w:rFonts w:ascii="Arial" w:cs="Arial" w:eastAsia="Arial" w:hAnsi="Arial"/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10080"/>
        </w:tabs>
        <w:spacing w:after="3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Symantec / NortonLifeLock, Director,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and Services PM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Oct 2015 – Jun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3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EDR, Network Forensics, Cyber Insurance, Safe Search, Norton for Gamers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30" w:before="30" w:line="260" w:lineRule="auto"/>
        <w:ind w:left="400" w:hanging="220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Launched 12 managed services and products generating $500M+ at ~12% YoY growth. Acquired by Broadcom/Accenture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30" w:before="30" w:line="260" w:lineRule="auto"/>
        <w:ind w:left="400" w:hanging="220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Built the global enablement model behind every one of those launches, certifying 100 sellers worldwide and standing up delivery capability with GSI partners including Accenture and PwC</w:t>
      </w:r>
    </w:p>
    <w:p w:rsidR="00000000" w:rsidDel="00000000" w:rsidP="00000000" w:rsidRDefault="00000000" w:rsidRPr="00000000" w14:paraId="00000027">
      <w:pPr>
        <w:tabs>
          <w:tab w:val="right" w:leader="none" w:pos="10080"/>
        </w:tabs>
        <w:spacing w:after="20" w:before="2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10080"/>
        </w:tabs>
        <w:spacing w:after="20" w:before="20" w:lineRule="auto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Symantec, </w:t>
      </w:r>
      <w:r w:rsidDel="00000000" w:rsidR="00000000" w:rsidRPr="00000000">
        <w:rPr>
          <w:rFonts w:ascii="Arial" w:cs="Arial" w:eastAsia="Arial" w:hAnsi="Arial"/>
          <w:color w:val="111111"/>
          <w:sz w:val="16"/>
          <w:szCs w:val="16"/>
          <w:rtl w:val="0"/>
        </w:rPr>
        <w:t xml:space="preserve">Field CTO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 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Jan 2011 – Oct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10080"/>
        </w:tabs>
        <w:spacing w:after="20" w:before="20" w:lineRule="auto"/>
        <w:rPr>
          <w:rFonts w:ascii="Arial" w:cs="Arial" w:eastAsia="Arial" w:hAnsi="Arial"/>
          <w:b w:val="1"/>
          <w:bCs w:val="1"/>
          <w:color w:val="11111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10080"/>
        </w:tabs>
        <w:spacing w:after="20" w:before="20" w:lineRule="auto"/>
        <w:rPr>
          <w:rFonts w:ascii="Arial" w:cs="Arial" w:eastAsia="Arial" w:hAnsi="Arial"/>
          <w:i w:val="1"/>
          <w:iCs w:val="1"/>
          <w:color w:val="11111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6"/>
          <w:szCs w:val="16"/>
          <w:rtl w:val="0"/>
        </w:rPr>
        <w:t xml:space="preserve">Wellington Management Company &amp; Trust Bank, </w:t>
      </w:r>
      <w:r w:rsidDel="00000000" w:rsidR="00000000" w:rsidRPr="00000000">
        <w:rPr>
          <w:rFonts w:ascii="Arial" w:cs="Arial" w:eastAsia="Arial" w:hAnsi="Arial"/>
          <w:color w:val="111111"/>
          <w:sz w:val="16"/>
          <w:szCs w:val="16"/>
          <w:rtl w:val="0"/>
        </w:rPr>
        <w:t xml:space="preserve">VP &amp; CISO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6"/>
          <w:szCs w:val="16"/>
          <w:rtl w:val="0"/>
        </w:rPr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111111"/>
          <w:sz w:val="16"/>
          <w:szCs w:val="16"/>
          <w:rtl w:val="0"/>
        </w:rPr>
        <w:t xml:space="preserve">Oct 2003 – Jan 2011</w:t>
      </w:r>
    </w:p>
    <w:p w:rsidR="00000000" w:rsidDel="00000000" w:rsidP="00000000" w:rsidRDefault="00000000" w:rsidRPr="00000000" w14:paraId="0000002B">
      <w:pPr>
        <w:tabs>
          <w:tab w:val="right" w:leader="none" w:pos="10080"/>
        </w:tabs>
        <w:spacing w:after="20" w:before="20" w:lineRule="auto"/>
        <w:rPr>
          <w:rFonts w:ascii="Arial" w:cs="Arial" w:eastAsia="Arial" w:hAnsi="Arial"/>
          <w:b w:val="1"/>
          <w:bCs w:val="1"/>
          <w:color w:val="11111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10080"/>
        </w:tabs>
        <w:spacing w:after="20" w:before="20" w:lineRule="auto"/>
        <w:rPr>
          <w:rFonts w:ascii="Arial" w:cs="Arial" w:eastAsia="Arial" w:hAnsi="Arial"/>
          <w:b w:val="1"/>
          <w:bCs w:val="1"/>
          <w:color w:val="1b4f72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6"/>
          <w:szCs w:val="16"/>
          <w:rtl w:val="0"/>
        </w:rPr>
        <w:t xml:space="preserve">Burntsand, </w:t>
      </w:r>
      <w:r w:rsidDel="00000000" w:rsidR="00000000" w:rsidRPr="00000000">
        <w:rPr>
          <w:rFonts w:ascii="Arial" w:cs="Arial" w:eastAsia="Arial" w:hAnsi="Arial"/>
          <w:color w:val="111111"/>
          <w:sz w:val="16"/>
          <w:szCs w:val="16"/>
          <w:rtl w:val="0"/>
        </w:rPr>
        <w:t xml:space="preserve">Security Solutions Director</w:t>
        <w:tab/>
        <w:t xml:space="preserve">   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111111"/>
          <w:sz w:val="16"/>
          <w:szCs w:val="16"/>
          <w:rtl w:val="0"/>
        </w:rPr>
        <w:t xml:space="preserve">Sep 1999 – Oct 2003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2e86c1" w:space="2" w:sz="6" w:val="single"/>
        </w:pBd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rtl w:val="0"/>
        </w:rPr>
        <w:t xml:space="preserve">EDUCATION &amp;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" w:before="40" w:lineRule="auto"/>
        <w:rPr>
          <w:rFonts w:ascii="Arial" w:cs="Arial" w:eastAsia="Arial" w:hAnsi="Arial"/>
          <w:color w:val="11111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6"/>
          <w:szCs w:val="16"/>
          <w:rtl w:val="0"/>
        </w:rPr>
        <w:t xml:space="preserve">B.S., University of Massachusetts,</w:t>
      </w:r>
      <w:r w:rsidDel="00000000" w:rsidR="00000000" w:rsidRPr="00000000">
        <w:rPr>
          <w:rFonts w:ascii="Arial" w:cs="Arial" w:eastAsia="Arial" w:hAnsi="Arial"/>
          <w:color w:val="111111"/>
          <w:sz w:val="16"/>
          <w:szCs w:val="16"/>
          <w:rtl w:val="0"/>
        </w:rPr>
        <w:t xml:space="preserve"> B.S. Management, 2024</w:t>
      </w:r>
    </w:p>
    <w:p w:rsidR="00000000" w:rsidDel="00000000" w:rsidP="00000000" w:rsidRDefault="00000000" w:rsidRPr="00000000" w14:paraId="0000002F">
      <w:pPr>
        <w:spacing w:after="20" w:before="40" w:lineRule="auto"/>
        <w:rPr>
          <w:rFonts w:ascii="Arial" w:cs="Arial" w:eastAsia="Arial" w:hAnsi="Arial"/>
          <w:color w:val="11111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6"/>
          <w:szCs w:val="16"/>
          <w:rtl w:val="0"/>
        </w:rPr>
        <w:t xml:space="preserve">Patent:</w:t>
      </w: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11111"/>
          <w:sz w:val="16"/>
          <w:szCs w:val="16"/>
          <w:rtl w:val="0"/>
        </w:rPr>
        <w:t xml:space="preserve">US 10,466,924 — Systems and Methods for Generating Memory Images of Computing Devices</w:t>
      </w:r>
    </w:p>
    <w:sectPr>
      <w:footerReference r:id="rId6" w:type="default"/>
      <w:pgSz w:h="15840" w:w="12240" w:orient="portrait"/>
      <w:pgMar w:bottom="0" w:top="45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