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C47F6" w14:textId="77777777" w:rsidR="004F1375" w:rsidRDefault="004F1375"/>
    <w:p w14:paraId="09C6AE85" w14:textId="727346F8" w:rsidR="004F1375" w:rsidRPr="004F1375" w:rsidRDefault="004F1375" w:rsidP="004F1375">
      <w:pPr>
        <w:pStyle w:val="NoSpacing"/>
        <w:jc w:val="center"/>
        <w:rPr>
          <w:b/>
          <w:bCs/>
        </w:rPr>
      </w:pPr>
      <w:r w:rsidRPr="004F1375">
        <w:rPr>
          <w:b/>
          <w:bCs/>
        </w:rPr>
        <w:t>R. Shane Livingston</w:t>
      </w:r>
    </w:p>
    <w:p w14:paraId="737C2D09" w14:textId="00337B4F" w:rsidR="004F1375" w:rsidRDefault="004F1375" w:rsidP="004F1375">
      <w:pPr>
        <w:pStyle w:val="NoSpacing"/>
        <w:jc w:val="center"/>
        <w:rPr>
          <w:b/>
          <w:bCs/>
        </w:rPr>
      </w:pPr>
      <w:r w:rsidRPr="004F1375">
        <w:rPr>
          <w:b/>
          <w:bCs/>
        </w:rPr>
        <w:t>Trends and Findings</w:t>
      </w:r>
    </w:p>
    <w:p w14:paraId="17DA307B" w14:textId="28829EE6" w:rsidR="004F1375" w:rsidRDefault="004F1375" w:rsidP="004F1375">
      <w:pPr>
        <w:pStyle w:val="NoSpacing"/>
        <w:rPr>
          <w:b/>
          <w:bCs/>
        </w:rPr>
      </w:pPr>
    </w:p>
    <w:p w14:paraId="3616AA95" w14:textId="19D50D30" w:rsidR="004F1375" w:rsidRPr="004F1375" w:rsidRDefault="004F1375" w:rsidP="004F1375">
      <w:pPr>
        <w:pStyle w:val="NoSpacing"/>
        <w:jc w:val="center"/>
        <w:rPr>
          <w:b/>
          <w:bCs/>
        </w:rPr>
      </w:pPr>
      <w:r>
        <w:rPr>
          <w:b/>
          <w:bCs/>
        </w:rPr>
        <w:t>Please review all three pages and visualizations</w:t>
      </w:r>
    </w:p>
    <w:p w14:paraId="549A797B" w14:textId="77777777" w:rsidR="004F1375" w:rsidRDefault="004F1375">
      <w:bookmarkStart w:id="0" w:name="_GoBack"/>
      <w:bookmarkEnd w:id="0"/>
    </w:p>
    <w:p w14:paraId="6988928B" w14:textId="20DCE06D" w:rsidR="004F1375" w:rsidRDefault="00303FE5">
      <w:r>
        <w:t>Trend 1:</w:t>
      </w:r>
      <w:r w:rsidR="007677FA">
        <w:t xml:space="preserve">  </w:t>
      </w:r>
      <w:r w:rsidR="004F1375">
        <w:t>Gender as a driver to Gamer Demographic</w:t>
      </w:r>
    </w:p>
    <w:p w14:paraId="71E91449" w14:textId="378AF93E" w:rsidR="00B63687" w:rsidRDefault="00B63687">
      <w:r>
        <w:t>The predominate play</w:t>
      </w:r>
      <w:r w:rsidR="007677FA">
        <w:t>er</w:t>
      </w:r>
      <w:r>
        <w:t xml:space="preserve"> consist of males with the overall make up </w:t>
      </w:r>
      <w:r w:rsidR="007677FA">
        <w:t xml:space="preserve">being a ratio of </w:t>
      </w:r>
      <w:r w:rsidR="007677FA">
        <w:t>M:F</w:t>
      </w:r>
      <w:r w:rsidR="007677FA">
        <w:t>, 6:1.</w:t>
      </w:r>
    </w:p>
    <w:p w14:paraId="52471616" w14:textId="7D100D2A" w:rsidR="00B63687" w:rsidRDefault="007677FA">
      <w:r>
        <w:rPr>
          <w:noProof/>
        </w:rPr>
        <w:drawing>
          <wp:inline distT="0" distB="0" distL="0" distR="0" wp14:anchorId="6BD6067B" wp14:editId="0CC39133">
            <wp:extent cx="4572000" cy="2743200"/>
            <wp:effectExtent l="0" t="0" r="0" b="0"/>
            <wp:docPr id="1" name="Chart 1">
              <a:extLst xmlns:a="http://schemas.openxmlformats.org/drawingml/2006/main">
                <a:ext uri="{FF2B5EF4-FFF2-40B4-BE49-F238E27FC236}">
                  <a16:creationId xmlns:a16="http://schemas.microsoft.com/office/drawing/2014/main" id="{CC9F9F05-7EE8-424E-8360-8DAE05C72F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DDC8F80" w14:textId="77777777" w:rsidR="00B63687" w:rsidRDefault="00B63687"/>
    <w:p w14:paraId="5D0DA9D8" w14:textId="77777777" w:rsidR="004F1375" w:rsidRDefault="004F1375"/>
    <w:p w14:paraId="7222FA04" w14:textId="77777777" w:rsidR="004F1375" w:rsidRDefault="004F1375"/>
    <w:p w14:paraId="69EBDCBE" w14:textId="77777777" w:rsidR="004F1375" w:rsidRDefault="004F1375"/>
    <w:p w14:paraId="0CC18166" w14:textId="77777777" w:rsidR="004F1375" w:rsidRDefault="004F1375"/>
    <w:p w14:paraId="3A57EE28" w14:textId="77777777" w:rsidR="004F1375" w:rsidRDefault="004F1375"/>
    <w:p w14:paraId="08FCE19A" w14:textId="77777777" w:rsidR="004F1375" w:rsidRDefault="004F1375"/>
    <w:p w14:paraId="65643F82" w14:textId="77777777" w:rsidR="004F1375" w:rsidRDefault="004F1375"/>
    <w:p w14:paraId="66398115" w14:textId="77777777" w:rsidR="004F1375" w:rsidRDefault="004F1375"/>
    <w:p w14:paraId="47176EA9" w14:textId="77777777" w:rsidR="004F1375" w:rsidRDefault="004F1375"/>
    <w:p w14:paraId="5345FA92" w14:textId="77777777" w:rsidR="004F1375" w:rsidRDefault="004F1375"/>
    <w:p w14:paraId="30869E6E" w14:textId="77777777" w:rsidR="004F1375" w:rsidRDefault="004F1375"/>
    <w:p w14:paraId="291DAEF2" w14:textId="77777777" w:rsidR="004F1375" w:rsidRDefault="004F1375"/>
    <w:p w14:paraId="4FFCFF2B" w14:textId="37789CA1" w:rsidR="004F1375" w:rsidRDefault="009C4804">
      <w:r>
        <w:t xml:space="preserve">Trend 2: </w:t>
      </w:r>
      <w:r w:rsidR="002B5883">
        <w:t xml:space="preserve"> </w:t>
      </w:r>
      <w:r w:rsidR="004F1375">
        <w:t>Trend 3:  Age Range - 15-19, 20,24 and 25-29 age demographics correlation to purchase count and value.</w:t>
      </w:r>
    </w:p>
    <w:p w14:paraId="4C6A6FC8" w14:textId="470CC561" w:rsidR="00B63687" w:rsidRDefault="002B5883">
      <w:r>
        <w:t xml:space="preserve">The </w:t>
      </w:r>
      <w:r w:rsidR="00C423D1">
        <w:t xml:space="preserve">Age Ranges 15-19, 20-24, and 25-29 make up 77% of the purchases and 76% of the purchase value. The predominate marketing budget should be targeting this age range to draw new customers and to continue the purchases new games should be made targeting these age demographics.  Secondary age range to target would be 30-34 as it has 9% of the purchase count and value.  </w:t>
      </w:r>
    </w:p>
    <w:p w14:paraId="6EE19710" w14:textId="52A8A407" w:rsidR="002B5883" w:rsidRDefault="002B5883">
      <w:r>
        <w:rPr>
          <w:noProof/>
        </w:rPr>
        <w:drawing>
          <wp:inline distT="0" distB="0" distL="0" distR="0" wp14:anchorId="2AA97F41" wp14:editId="02F5D509">
            <wp:extent cx="5943600" cy="3232150"/>
            <wp:effectExtent l="0" t="0" r="0" b="6350"/>
            <wp:docPr id="2" name="Chart 2">
              <a:extLst xmlns:a="http://schemas.openxmlformats.org/drawingml/2006/main">
                <a:ext uri="{FF2B5EF4-FFF2-40B4-BE49-F238E27FC236}">
                  <a16:creationId xmlns:a16="http://schemas.microsoft.com/office/drawing/2014/main" id="{82E53070-258A-4004-864C-549D6A6728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936B84E" w14:textId="77777777" w:rsidR="002B5883" w:rsidRDefault="002B5883"/>
    <w:p w14:paraId="4827BDAE" w14:textId="72CD4750" w:rsidR="00B63687" w:rsidRDefault="00B63687"/>
    <w:p w14:paraId="4835BA41" w14:textId="5037228F" w:rsidR="004F1375" w:rsidRDefault="004F1375"/>
    <w:p w14:paraId="6E35A4B5" w14:textId="1AFCAF03" w:rsidR="004F1375" w:rsidRDefault="004F1375"/>
    <w:p w14:paraId="6AD2D849" w14:textId="35C04C53" w:rsidR="004F1375" w:rsidRDefault="004F1375"/>
    <w:p w14:paraId="2D3CE3E5" w14:textId="13FF9692" w:rsidR="004F1375" w:rsidRDefault="004F1375"/>
    <w:p w14:paraId="4F40125D" w14:textId="680D63E2" w:rsidR="004F1375" w:rsidRDefault="004F1375"/>
    <w:p w14:paraId="64BDB6BB" w14:textId="5D1817C5" w:rsidR="004F1375" w:rsidRDefault="004F1375"/>
    <w:p w14:paraId="0054D9BB" w14:textId="52318365" w:rsidR="004F1375" w:rsidRDefault="004F1375"/>
    <w:p w14:paraId="508A96D4" w14:textId="6FC922C5" w:rsidR="004F1375" w:rsidRDefault="004F1375"/>
    <w:p w14:paraId="1247E504" w14:textId="78C15C56" w:rsidR="004F1375" w:rsidRDefault="004F1375"/>
    <w:p w14:paraId="2D005116" w14:textId="77777777" w:rsidR="004F1375" w:rsidRDefault="004F1375"/>
    <w:p w14:paraId="7E0A9184" w14:textId="0813C035" w:rsidR="004F1375" w:rsidRDefault="004F1375" w:rsidP="004F1375">
      <w:r>
        <w:t>T</w:t>
      </w:r>
      <w:r w:rsidR="00190A44">
        <w:t xml:space="preserve">rend 3: </w:t>
      </w:r>
      <w:r>
        <w:t xml:space="preserve"> Age Range User Counts - </w:t>
      </w:r>
      <w:r>
        <w:t>15-19, 20,24 and 25-29 age demographics</w:t>
      </w:r>
      <w:r>
        <w:t xml:space="preserve"> correlation to purchase count and value.</w:t>
      </w:r>
    </w:p>
    <w:p w14:paraId="64960238" w14:textId="48E3FFE1" w:rsidR="00C423D1" w:rsidRDefault="004F1375">
      <w:r>
        <w:t>Strong Correlation between Age Range of Gamers just as there is to purchase counts and purchase value percentages. Revenue would increase if market share can be gained in the 15-19, 20,24 and 25-29 age demographics.</w:t>
      </w:r>
    </w:p>
    <w:p w14:paraId="594C868D" w14:textId="4B6FBDA4" w:rsidR="004F1375" w:rsidRDefault="004F1375">
      <w:r>
        <w:rPr>
          <w:noProof/>
        </w:rPr>
        <w:drawing>
          <wp:inline distT="0" distB="0" distL="0" distR="0" wp14:anchorId="18CB0C74" wp14:editId="2D76C4FA">
            <wp:extent cx="5943600" cy="2933700"/>
            <wp:effectExtent l="0" t="0" r="0" b="0"/>
            <wp:docPr id="3" name="Chart 3">
              <a:extLst xmlns:a="http://schemas.openxmlformats.org/drawingml/2006/main">
                <a:ext uri="{FF2B5EF4-FFF2-40B4-BE49-F238E27FC236}">
                  <a16:creationId xmlns:a16="http://schemas.microsoft.com/office/drawing/2014/main" id="{CEA3E4B8-75EA-47F5-8BBA-83B2127C8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3ECEA75" w14:textId="42EB5F06" w:rsidR="00C423D1" w:rsidRDefault="00C423D1"/>
    <w:sectPr w:rsidR="00C42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FE5"/>
    <w:rsid w:val="00190A44"/>
    <w:rsid w:val="002B5883"/>
    <w:rsid w:val="00303FE5"/>
    <w:rsid w:val="004F1375"/>
    <w:rsid w:val="007677FA"/>
    <w:rsid w:val="007D3211"/>
    <w:rsid w:val="009C4804"/>
    <w:rsid w:val="00AE18A6"/>
    <w:rsid w:val="00B37EA3"/>
    <w:rsid w:val="00B61930"/>
    <w:rsid w:val="00B63687"/>
    <w:rsid w:val="00B83866"/>
    <w:rsid w:val="00C423D1"/>
    <w:rsid w:val="00F02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15E6"/>
  <w15:chartTrackingRefBased/>
  <w15:docId w15:val="{E812A0C8-DB76-43D1-8167-DDAA66605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13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98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shan\AppData\Local\Temp\Temp1_SMU-DAL-DATA-PT-11-2019-U-C-master-02-Homework.zip\SMU-DAL-DATA-PT-11-2019-U-C-master-02-Homework\02-Homework\04-Pandas\Instructions\HeroesOfPymoli\Resources\purchase_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shan\AppData\Local\Temp\Temp1_SMU-DAL-DATA-PT-11-2019-U-C-master-02-Homework.zip\SMU-DAL-DATA-PT-11-2019-U-C-master-02-Homework\02-Homework\04-Pandas\Instructions\HeroesOfPymoli\Resources\purchase_dat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shan\AppData\Local\Temp\Temp1_SMU-DAL-DATA-PT-11-2019-U-C-master-02-Homework.zip\SMU-DAL-DATA-PT-11-2019-U-C-master-02-Homework\02-Homework\04-Pandas\Instructions\HeroesOfPymoli\Resources\purchase_data.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Total Percentage of Players</a:t>
            </a:r>
          </a:p>
        </c:rich>
      </c:tx>
      <c:layout>
        <c:manualLayout>
          <c:xMode val="edge"/>
          <c:yMode val="edge"/>
          <c:x val="1.4812335958005265E-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Sheet1!$E$1</c:f>
              <c:strCache>
                <c:ptCount val="1"/>
                <c:pt idx="0">
                  <c:v>Total Percentage of Players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71D-4A0B-B6F0-C006862767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71D-4A0B-B6F0-C006862767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71D-4A0B-B6F0-C00686276797}"/>
              </c:ext>
            </c:extLst>
          </c:dPt>
          <c:dLbls>
            <c:dLbl>
              <c:idx val="0"/>
              <c:layout>
                <c:manualLayout>
                  <c:x val="0.11388888888888889"/>
                  <c:y val="6.0185185185185182E-2"/>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01FA161A-15D7-4AEA-A16B-B1231B62EC7B}" type="CATEGORYNAME">
                      <a:rPr lang="en-US" b="1"/>
                      <a:pPr>
                        <a:defRPr/>
                      </a:pPr>
                      <a:t>[CATEGORY NAME]</a:t>
                    </a:fld>
                    <a:r>
                      <a:rPr lang="en-US" baseline="0"/>
                      <a:t>, </a:t>
                    </a:r>
                    <a:fld id="{1AAA99BD-6506-4E0A-AAFE-718F62127C01}" type="VALUE">
                      <a:rPr lang="en-US" baseline="0"/>
                      <a:pPr>
                        <a:defRPr/>
                      </a:pPr>
                      <a:t>[VALUE]</a:t>
                    </a:fld>
                    <a:endParaRPr lang="en-US" baseline="0"/>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3422134733158356"/>
                      <c:h val="0.15797025371828521"/>
                    </c:manualLayout>
                  </c15:layout>
                  <c15:dlblFieldTable/>
                  <c15:showDataLabelsRange val="0"/>
                </c:ext>
                <c:ext xmlns:c16="http://schemas.microsoft.com/office/drawing/2014/chart" uri="{C3380CC4-5D6E-409C-BE32-E72D297353CC}">
                  <c16:uniqueId val="{00000001-571D-4A0B-B6F0-C00686276797}"/>
                </c:ext>
              </c:extLst>
            </c:dLbl>
            <c:dLbl>
              <c:idx val="1"/>
              <c:layout>
                <c:manualLayout>
                  <c:x val="-0.1902777777777778"/>
                  <c:y val="3.4722222222222224E-2"/>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8F92ECE8-B81C-410C-A384-D09C00E29D13}" type="CATEGORYNAME">
                      <a:rPr lang="en-US" b="1"/>
                      <a:pPr>
                        <a:defRPr/>
                      </a:pPr>
                      <a:t>[CATEGORY NAME]</a:t>
                    </a:fld>
                    <a:r>
                      <a:rPr lang="en-US" baseline="0"/>
                      <a:t>, </a:t>
                    </a:r>
                    <a:fld id="{5ED90E56-B3C1-4F75-820C-86D978B36817}" type="VALUE">
                      <a:rPr lang="en-US" baseline="0"/>
                      <a:pPr>
                        <a:defRPr/>
                      </a:pPr>
                      <a:t>[VALUE]</a:t>
                    </a:fld>
                    <a:endParaRPr lang="en-US" baseline="0"/>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319689413823272"/>
                      <c:h val="0.13482210557013707"/>
                    </c:manualLayout>
                  </c15:layout>
                  <c15:dlblFieldTable/>
                  <c15:showDataLabelsRange val="0"/>
                </c:ext>
                <c:ext xmlns:c16="http://schemas.microsoft.com/office/drawing/2014/chart" uri="{C3380CC4-5D6E-409C-BE32-E72D297353CC}">
                  <c16:uniqueId val="{00000003-571D-4A0B-B6F0-C00686276797}"/>
                </c:ext>
              </c:extLst>
            </c:dLbl>
            <c:dLbl>
              <c:idx val="2"/>
              <c:layout>
                <c:manualLayout>
                  <c:x val="0.21805544619422573"/>
                  <c:y val="-0.125"/>
                </c:manualLayout>
              </c:layout>
              <c:tx>
                <c:rich>
                  <a:bodyPr/>
                  <a:lstStyle/>
                  <a:p>
                    <a:fld id="{09E972F8-CA46-4804-BAAC-9B4834455FC1}" type="CATEGORYNAME">
                      <a:rPr lang="en-US" b="1"/>
                      <a:pPr/>
                      <a:t>[CATEGORY NAME]</a:t>
                    </a:fld>
                    <a:r>
                      <a:rPr lang="en-US" baseline="0"/>
                      <a:t>, </a:t>
                    </a:r>
                    <a:fld id="{71D7320E-CCC1-424E-8110-5B7605940AD8}" type="VALUE">
                      <a:rPr lang="en-US" baseline="0"/>
                      <a:pPr/>
                      <a:t>[VALUE]</a:t>
                    </a:fld>
                    <a:endParaRPr lang="en-US" baseline="0"/>
                  </a:p>
                </c:rich>
              </c:tx>
              <c:showLegendKey val="0"/>
              <c:showVal val="1"/>
              <c:showCatName val="1"/>
              <c:showSerName val="0"/>
              <c:showPercent val="0"/>
              <c:showBubbleSize val="0"/>
              <c:extLst>
                <c:ext xmlns:c15="http://schemas.microsoft.com/office/drawing/2012/chart" uri="{CE6537A1-D6FC-4f65-9D91-7224C49458BB}">
                  <c15:layout>
                    <c:manualLayout>
                      <c:w val="0.30547965879265088"/>
                      <c:h val="0.11673082531350248"/>
                    </c:manualLayout>
                  </c15:layout>
                  <c15:dlblFieldTable/>
                  <c15:showDataLabelsRange val="0"/>
                </c:ext>
                <c:ext xmlns:c16="http://schemas.microsoft.com/office/drawing/2014/chart" uri="{C3380CC4-5D6E-409C-BE32-E72D297353CC}">
                  <c16:uniqueId val="{00000005-571D-4A0B-B6F0-C00686276797}"/>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Sheet1!$D$2:$D$4</c:f>
              <c:strCache>
                <c:ptCount val="3"/>
                <c:pt idx="0">
                  <c:v>Male</c:v>
                </c:pt>
                <c:pt idx="1">
                  <c:v>Female</c:v>
                </c:pt>
                <c:pt idx="2">
                  <c:v>Other/Non-disclosed</c:v>
                </c:pt>
              </c:strCache>
            </c:strRef>
          </c:cat>
          <c:val>
            <c:numRef>
              <c:f>Sheet1!$E$2:$E$4</c:f>
              <c:numCache>
                <c:formatCode>0.00%</c:formatCode>
                <c:ptCount val="3"/>
                <c:pt idx="0">
                  <c:v>0.84030000000000005</c:v>
                </c:pt>
                <c:pt idx="1">
                  <c:v>0.1406</c:v>
                </c:pt>
                <c:pt idx="2">
                  <c:v>1.9099999999999999E-2</c:v>
                </c:pt>
              </c:numCache>
            </c:numRef>
          </c:val>
          <c:extLst>
            <c:ext xmlns:c16="http://schemas.microsoft.com/office/drawing/2014/chart" uri="{C3380CC4-5D6E-409C-BE32-E72D297353CC}">
              <c16:uniqueId val="{00000006-571D-4A0B-B6F0-C00686276797}"/>
            </c:ext>
          </c:extLst>
        </c:ser>
        <c:dLbls>
          <c:showLegendKey val="0"/>
          <c:showVal val="0"/>
          <c:showCatName val="0"/>
          <c:showSerName val="0"/>
          <c:showPercent val="0"/>
          <c:showBubbleSize val="0"/>
          <c:showLeaderLines val="0"/>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baseline="0">
                <a:effectLst/>
                <a:latin typeface="Arial Narrow" panose="020B0606020202030204" pitchFamily="34" charset="0"/>
              </a:rPr>
              <a:t>Age Range </a:t>
            </a:r>
            <a:endParaRPr lang="en-US" sz="1400" baseline="0">
              <a:effectLst/>
              <a:latin typeface="Arial Narrow" panose="020B0606020202030204" pitchFamily="34" charset="0"/>
            </a:endParaRPr>
          </a:p>
          <a:p>
            <a:pPr>
              <a:defRPr/>
            </a:pPr>
            <a:endParaRPr lang="en-US" sz="1000" baseline="0">
              <a:effectLst/>
              <a:latin typeface="Arial Narrow" panose="020B0606020202030204" pitchFamily="34" charset="0"/>
            </a:endParaRPr>
          </a:p>
          <a:p>
            <a:pPr>
              <a:defRPr/>
            </a:pPr>
            <a:r>
              <a:rPr lang="en-US" sz="1000" b="1" i="0" baseline="0">
                <a:effectLst/>
                <a:latin typeface="Arial Narrow" panose="020B0606020202030204" pitchFamily="34" charset="0"/>
              </a:rPr>
              <a:t>TPC %   vs   TPV %</a:t>
            </a:r>
            <a:endParaRPr lang="en-US" sz="1000" baseline="0">
              <a:effectLst/>
              <a:latin typeface="Arial Narrow" panose="020B060602020203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Sheet2!$K$3</c:f>
              <c:strCache>
                <c:ptCount val="1"/>
                <c:pt idx="0">
                  <c:v>Total Purchase Count Percent</c:v>
                </c:pt>
              </c:strCache>
            </c:strRef>
          </c:tx>
          <c:spPr>
            <a:solidFill>
              <a:schemeClr val="accent1"/>
            </a:solidFill>
            <a:ln>
              <a:noFill/>
            </a:ln>
            <a:effectLst/>
          </c:spPr>
          <c:invertIfNegative val="0"/>
          <c:cat>
            <c:strRef>
              <c:f>Sheet2!$J$4:$J$11</c:f>
              <c:strCache>
                <c:ptCount val="8"/>
                <c:pt idx="0">
                  <c:v>&lt;10 </c:v>
                </c:pt>
                <c:pt idx="1">
                  <c:v>10-14</c:v>
                </c:pt>
                <c:pt idx="2">
                  <c:v>15-19 </c:v>
                </c:pt>
                <c:pt idx="3">
                  <c:v>20-24 </c:v>
                </c:pt>
                <c:pt idx="4">
                  <c:v>25-29 </c:v>
                </c:pt>
                <c:pt idx="5">
                  <c:v>30-34 </c:v>
                </c:pt>
                <c:pt idx="6">
                  <c:v> 35-39 </c:v>
                </c:pt>
                <c:pt idx="7">
                  <c:v> 40+ </c:v>
                </c:pt>
              </c:strCache>
            </c:strRef>
          </c:cat>
          <c:val>
            <c:numRef>
              <c:f>Sheet2!$K$4:$K$11</c:f>
              <c:numCache>
                <c:formatCode>0%</c:formatCode>
                <c:ptCount val="8"/>
                <c:pt idx="0">
                  <c:v>0.03</c:v>
                </c:pt>
                <c:pt idx="1">
                  <c:v>0.04</c:v>
                </c:pt>
                <c:pt idx="2">
                  <c:v>0.17</c:v>
                </c:pt>
                <c:pt idx="3">
                  <c:v>0.47</c:v>
                </c:pt>
                <c:pt idx="4">
                  <c:v>0.13</c:v>
                </c:pt>
                <c:pt idx="5">
                  <c:v>0.09</c:v>
                </c:pt>
                <c:pt idx="6">
                  <c:v>0.05</c:v>
                </c:pt>
                <c:pt idx="7">
                  <c:v>0.02</c:v>
                </c:pt>
              </c:numCache>
            </c:numRef>
          </c:val>
          <c:extLst>
            <c:ext xmlns:c16="http://schemas.microsoft.com/office/drawing/2014/chart" uri="{C3380CC4-5D6E-409C-BE32-E72D297353CC}">
              <c16:uniqueId val="{00000000-A23B-4BEB-95AD-E16976F343CB}"/>
            </c:ext>
          </c:extLst>
        </c:ser>
        <c:ser>
          <c:idx val="1"/>
          <c:order val="1"/>
          <c:tx>
            <c:strRef>
              <c:f>Sheet2!$L$3</c:f>
              <c:strCache>
                <c:ptCount val="1"/>
                <c:pt idx="0">
                  <c:v>Total Purchase Value Percent</c:v>
                </c:pt>
              </c:strCache>
            </c:strRef>
          </c:tx>
          <c:spPr>
            <a:solidFill>
              <a:schemeClr val="accent2"/>
            </a:solidFill>
            <a:ln>
              <a:noFill/>
            </a:ln>
            <a:effectLst/>
          </c:spPr>
          <c:invertIfNegative val="0"/>
          <c:cat>
            <c:strRef>
              <c:f>Sheet2!$J$4:$J$11</c:f>
              <c:strCache>
                <c:ptCount val="8"/>
                <c:pt idx="0">
                  <c:v>&lt;10 </c:v>
                </c:pt>
                <c:pt idx="1">
                  <c:v>10-14</c:v>
                </c:pt>
                <c:pt idx="2">
                  <c:v>15-19 </c:v>
                </c:pt>
                <c:pt idx="3">
                  <c:v>20-24 </c:v>
                </c:pt>
                <c:pt idx="4">
                  <c:v>25-29 </c:v>
                </c:pt>
                <c:pt idx="5">
                  <c:v>30-34 </c:v>
                </c:pt>
                <c:pt idx="6">
                  <c:v> 35-39 </c:v>
                </c:pt>
                <c:pt idx="7">
                  <c:v> 40+ </c:v>
                </c:pt>
              </c:strCache>
            </c:strRef>
          </c:cat>
          <c:val>
            <c:numRef>
              <c:f>Sheet2!$L$4:$L$11</c:f>
              <c:numCache>
                <c:formatCode>0%</c:formatCode>
                <c:ptCount val="8"/>
                <c:pt idx="0">
                  <c:v>0.03</c:v>
                </c:pt>
                <c:pt idx="1">
                  <c:v>0.03</c:v>
                </c:pt>
                <c:pt idx="2">
                  <c:v>0.17</c:v>
                </c:pt>
                <c:pt idx="3">
                  <c:v>0.47</c:v>
                </c:pt>
                <c:pt idx="4">
                  <c:v>0.12</c:v>
                </c:pt>
                <c:pt idx="5">
                  <c:v>0.09</c:v>
                </c:pt>
                <c:pt idx="6">
                  <c:v>0.06</c:v>
                </c:pt>
                <c:pt idx="7">
                  <c:v>0.02</c:v>
                </c:pt>
              </c:numCache>
            </c:numRef>
          </c:val>
          <c:extLst>
            <c:ext xmlns:c16="http://schemas.microsoft.com/office/drawing/2014/chart" uri="{C3380CC4-5D6E-409C-BE32-E72D297353CC}">
              <c16:uniqueId val="{00000001-A23B-4BEB-95AD-E16976F343CB}"/>
            </c:ext>
          </c:extLst>
        </c:ser>
        <c:dLbls>
          <c:showLegendKey val="0"/>
          <c:showVal val="0"/>
          <c:showCatName val="0"/>
          <c:showSerName val="0"/>
          <c:showPercent val="0"/>
          <c:showBubbleSize val="0"/>
        </c:dLbls>
        <c:gapWidth val="182"/>
        <c:axId val="604418472"/>
        <c:axId val="604421424"/>
      </c:barChart>
      <c:catAx>
        <c:axId val="60441847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Age Ranges </a:t>
                </a:r>
              </a:p>
            </c:rich>
          </c:tx>
          <c:layout>
            <c:manualLayout>
              <c:xMode val="edge"/>
              <c:yMode val="edge"/>
              <c:x val="0.11066398390342053"/>
              <c:y val="0.358129849725176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421424"/>
        <c:crosses val="autoZero"/>
        <c:auto val="1"/>
        <c:lblAlgn val="ctr"/>
        <c:lblOffset val="100"/>
        <c:noMultiLvlLbl val="0"/>
      </c:catAx>
      <c:valAx>
        <c:axId val="604421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Percentage</a:t>
                </a:r>
              </a:p>
            </c:rich>
          </c:tx>
          <c:layout>
            <c:manualLayout>
              <c:xMode val="edge"/>
              <c:yMode val="edge"/>
              <c:x val="0.4553566807670168"/>
              <c:y val="0.9191950682390418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41847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Age Range vs TPV% vs TPC%</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Sheet2!$K$3</c:f>
              <c:strCache>
                <c:ptCount val="1"/>
                <c:pt idx="0">
                  <c:v>Total Purchase Count Percent</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Sheet2!$J$4:$J$11</c:f>
              <c:strCache>
                <c:ptCount val="8"/>
                <c:pt idx="0">
                  <c:v>&lt;10 </c:v>
                </c:pt>
                <c:pt idx="1">
                  <c:v>10-14</c:v>
                </c:pt>
                <c:pt idx="2">
                  <c:v>15-19 </c:v>
                </c:pt>
                <c:pt idx="3">
                  <c:v>20-24 </c:v>
                </c:pt>
                <c:pt idx="4">
                  <c:v>25-29 </c:v>
                </c:pt>
                <c:pt idx="5">
                  <c:v>30-34 </c:v>
                </c:pt>
                <c:pt idx="6">
                  <c:v> 35-39 </c:v>
                </c:pt>
                <c:pt idx="7">
                  <c:v> 40+ </c:v>
                </c:pt>
              </c:strCache>
            </c:strRef>
          </c:cat>
          <c:val>
            <c:numRef>
              <c:f>Sheet2!$K$4:$K$11</c:f>
              <c:numCache>
                <c:formatCode>0%</c:formatCode>
                <c:ptCount val="8"/>
                <c:pt idx="0">
                  <c:v>0.03</c:v>
                </c:pt>
                <c:pt idx="1">
                  <c:v>0.04</c:v>
                </c:pt>
                <c:pt idx="2">
                  <c:v>0.17</c:v>
                </c:pt>
                <c:pt idx="3">
                  <c:v>0.47</c:v>
                </c:pt>
                <c:pt idx="4">
                  <c:v>0.13</c:v>
                </c:pt>
                <c:pt idx="5">
                  <c:v>0.09</c:v>
                </c:pt>
                <c:pt idx="6">
                  <c:v>0.05</c:v>
                </c:pt>
                <c:pt idx="7">
                  <c:v>0.02</c:v>
                </c:pt>
              </c:numCache>
            </c:numRef>
          </c:val>
          <c:extLst>
            <c:ext xmlns:c16="http://schemas.microsoft.com/office/drawing/2014/chart" uri="{C3380CC4-5D6E-409C-BE32-E72D297353CC}">
              <c16:uniqueId val="{00000000-4FFA-4EC4-AA36-98CE9828A340}"/>
            </c:ext>
          </c:extLst>
        </c:ser>
        <c:ser>
          <c:idx val="1"/>
          <c:order val="1"/>
          <c:tx>
            <c:strRef>
              <c:f>Sheet2!$L$3</c:f>
              <c:strCache>
                <c:ptCount val="1"/>
                <c:pt idx="0">
                  <c:v>Total Purchase Value Percent</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Sheet2!$J$4:$J$11</c:f>
              <c:strCache>
                <c:ptCount val="8"/>
                <c:pt idx="0">
                  <c:v>&lt;10 </c:v>
                </c:pt>
                <c:pt idx="1">
                  <c:v>10-14</c:v>
                </c:pt>
                <c:pt idx="2">
                  <c:v>15-19 </c:v>
                </c:pt>
                <c:pt idx="3">
                  <c:v>20-24 </c:v>
                </c:pt>
                <c:pt idx="4">
                  <c:v>25-29 </c:v>
                </c:pt>
                <c:pt idx="5">
                  <c:v>30-34 </c:v>
                </c:pt>
                <c:pt idx="6">
                  <c:v> 35-39 </c:v>
                </c:pt>
                <c:pt idx="7">
                  <c:v> 40+ </c:v>
                </c:pt>
              </c:strCache>
            </c:strRef>
          </c:cat>
          <c:val>
            <c:numRef>
              <c:f>Sheet2!$L$4:$L$11</c:f>
              <c:numCache>
                <c:formatCode>0%</c:formatCode>
                <c:ptCount val="8"/>
                <c:pt idx="0">
                  <c:v>0.03</c:v>
                </c:pt>
                <c:pt idx="1">
                  <c:v>0.03</c:v>
                </c:pt>
                <c:pt idx="2">
                  <c:v>0.17</c:v>
                </c:pt>
                <c:pt idx="3">
                  <c:v>0.47</c:v>
                </c:pt>
                <c:pt idx="4">
                  <c:v>0.12</c:v>
                </c:pt>
                <c:pt idx="5">
                  <c:v>0.09</c:v>
                </c:pt>
                <c:pt idx="6">
                  <c:v>0.06</c:v>
                </c:pt>
                <c:pt idx="7">
                  <c:v>0.02</c:v>
                </c:pt>
              </c:numCache>
            </c:numRef>
          </c:val>
          <c:extLst>
            <c:ext xmlns:c16="http://schemas.microsoft.com/office/drawing/2014/chart" uri="{C3380CC4-5D6E-409C-BE32-E72D297353CC}">
              <c16:uniqueId val="{00000001-4FFA-4EC4-AA36-98CE9828A340}"/>
            </c:ext>
          </c:extLst>
        </c:ser>
        <c:ser>
          <c:idx val="2"/>
          <c:order val="2"/>
          <c:tx>
            <c:strRef>
              <c:f>Sheet2!$M$3</c:f>
              <c:strCache>
                <c:ptCount val="1"/>
                <c:pt idx="0">
                  <c:v>Percentage of Players</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Sheet2!$J$4:$J$11</c:f>
              <c:strCache>
                <c:ptCount val="8"/>
                <c:pt idx="0">
                  <c:v>&lt;10 </c:v>
                </c:pt>
                <c:pt idx="1">
                  <c:v>10-14</c:v>
                </c:pt>
                <c:pt idx="2">
                  <c:v>15-19 </c:v>
                </c:pt>
                <c:pt idx="3">
                  <c:v>20-24 </c:v>
                </c:pt>
                <c:pt idx="4">
                  <c:v>25-29 </c:v>
                </c:pt>
                <c:pt idx="5">
                  <c:v>30-34 </c:v>
                </c:pt>
                <c:pt idx="6">
                  <c:v> 35-39 </c:v>
                </c:pt>
                <c:pt idx="7">
                  <c:v> 40+ </c:v>
                </c:pt>
              </c:strCache>
            </c:strRef>
          </c:cat>
          <c:val>
            <c:numRef>
              <c:f>Sheet2!$M$4:$M$11</c:f>
              <c:numCache>
                <c:formatCode>0%</c:formatCode>
                <c:ptCount val="8"/>
                <c:pt idx="0">
                  <c:v>2.9499999999999998E-2</c:v>
                </c:pt>
                <c:pt idx="1">
                  <c:v>3.8199999999999998E-2</c:v>
                </c:pt>
                <c:pt idx="2">
                  <c:v>0.18579999999999999</c:v>
                </c:pt>
                <c:pt idx="3">
                  <c:v>0.44790000000000002</c:v>
                </c:pt>
                <c:pt idx="4">
                  <c:v>0.13370000000000001</c:v>
                </c:pt>
                <c:pt idx="5">
                  <c:v>9.0300000000000005E-2</c:v>
                </c:pt>
                <c:pt idx="6">
                  <c:v>5.3800000000000001E-2</c:v>
                </c:pt>
                <c:pt idx="7">
                  <c:v>2.0799999999999999E-2</c:v>
                </c:pt>
              </c:numCache>
            </c:numRef>
          </c:val>
          <c:extLst>
            <c:ext xmlns:c16="http://schemas.microsoft.com/office/drawing/2014/chart" uri="{C3380CC4-5D6E-409C-BE32-E72D297353CC}">
              <c16:uniqueId val="{00000002-4FFA-4EC4-AA36-98CE9828A340}"/>
            </c:ext>
          </c:extLst>
        </c:ser>
        <c:dLbls>
          <c:dLblPos val="inEnd"/>
          <c:showLegendKey val="0"/>
          <c:showVal val="1"/>
          <c:showCatName val="0"/>
          <c:showSerName val="0"/>
          <c:showPercent val="0"/>
          <c:showBubbleSize val="0"/>
        </c:dLbls>
        <c:gapWidth val="65"/>
        <c:axId val="606980832"/>
        <c:axId val="606983128"/>
      </c:barChart>
      <c:catAx>
        <c:axId val="606980832"/>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Age Ranges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06983128"/>
        <c:crosses val="autoZero"/>
        <c:auto val="1"/>
        <c:lblAlgn val="ctr"/>
        <c:lblOffset val="100"/>
        <c:noMultiLvlLbl val="0"/>
      </c:catAx>
      <c:valAx>
        <c:axId val="606983128"/>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Percentage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60698083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Kuo</dc:creator>
  <cp:keywords/>
  <dc:description/>
  <cp:lastModifiedBy>Shane Livingston</cp:lastModifiedBy>
  <cp:revision>2</cp:revision>
  <dcterms:created xsi:type="dcterms:W3CDTF">2020-01-12T03:35:00Z</dcterms:created>
  <dcterms:modified xsi:type="dcterms:W3CDTF">2020-01-12T03:35:00Z</dcterms:modified>
</cp:coreProperties>
</file>