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Shubh Housekeeping Pvt Ltd</w:t>
      </w:r>
    </w:p>
    <w:p>
      <w:r>
        <w:t>Proposal: Housekeeping Services — Andheri East Office, FY 2026–27</w:t>
      </w:r>
    </w:p>
    <w:p>
      <w:r>
        <w:t>FICTIONAL DOCUMENT — created for VixenOne testing. All names, prices and terms are invented.</w:t>
      </w:r>
    </w:p>
    <w:p>
      <w:pPr>
        <w:pStyle w:val="Heading1"/>
      </w:pPr>
      <w:r>
        <w:t>1. Service schedule</w:t>
      </w:r>
    </w:p>
    <w:p>
      <w:r>
        <w:t>Daily cleaning of all office areas, Monday to Saturday, 07:00 to 19:00.</w:t>
      </w:r>
    </w:p>
    <w:p>
      <w:pPr>
        <w:pStyle w:val="Heading1"/>
      </w:pPr>
      <w:r>
        <w:t>2. Staffing</w:t>
      </w:r>
    </w:p>
    <w:p>
      <w:r>
        <w:t>14 housekeeping staff per shift across two shifts. All staff are police-verified; records maintained on site.</w:t>
      </w:r>
    </w:p>
    <w:p>
      <w:pPr>
        <w:pStyle w:val="Heading1"/>
      </w:pPr>
      <w:r>
        <w:t>3. Supervision</w:t>
      </w:r>
    </w:p>
    <w:p>
      <w:r>
        <w:t>Dedicated on-site supervisor 24×7, with a named area manager for escalation.</w:t>
      </w:r>
    </w:p>
    <w:p>
      <w:pPr>
        <w:pStyle w:val="Heading1"/>
      </w:pPr>
      <w:r>
        <w:t>4. Inclusions</w:t>
      </w:r>
    </w:p>
    <w:p>
      <w:r>
        <w:t>Washroom consumables (soap, tissue, sanitiser) and monthly pest control are included in the monthly fee. Quarterly deep cleaning of carpets and upholstery is included.</w:t>
      </w:r>
    </w:p>
    <w:p>
      <w:pPr>
        <w:pStyle w:val="Heading1"/>
      </w:pPr>
      <w:r>
        <w:t>5. Service levels</w:t>
      </w:r>
    </w:p>
    <w:p>
      <w:r>
        <w:t>Ad-hoc cleaning requests are responded to within 2 hours. A penalty of 2% of the monthly fee applies for each missed response in a month, capped at 10%. Monthly service report with checklist scores.</w:t>
      </w:r>
    </w:p>
    <w:p>
      <w:pPr>
        <w:pStyle w:val="Heading1"/>
      </w:pPr>
      <w:r>
        <w:t>6. Commercials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Monthly (INR)</w:t>
            </w:r>
          </w:p>
        </w:tc>
      </w:tr>
      <w:tr>
        <w:tc>
          <w:tcPr>
            <w:tcW w:type="dxa" w:w="4320"/>
          </w:tcPr>
          <w:p>
            <w:r>
              <w:t>Base housekeeping fee</w:t>
            </w:r>
          </w:p>
        </w:tc>
        <w:tc>
          <w:tcPr>
            <w:tcW w:type="dxa" w:w="4320"/>
          </w:tcPr>
          <w:p>
            <w:r>
              <w:t>4,60,000</w:t>
            </w:r>
          </w:p>
        </w:tc>
      </w:tr>
      <w:tr>
        <w:tc>
          <w:tcPr>
            <w:tcW w:type="dxa" w:w="4320"/>
          </w:tcPr>
          <w:p>
            <w:r>
              <w:t>GST @ 18%</w:t>
            </w:r>
          </w:p>
        </w:tc>
        <w:tc>
          <w:tcPr>
            <w:tcW w:type="dxa" w:w="4320"/>
          </w:tcPr>
          <w:p>
            <w:r>
              <w:t>82,800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5,42,800</w:t>
            </w:r>
          </w:p>
        </w:tc>
      </w:tr>
    </w:tbl>
    <w:p>
      <w:r>
        <w:t>No other charges apply.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