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2E6B62"/>
          <w:sz w:val="56"/>
          <w:szCs w:val="56"/>
        </w:rPr>
        <w:t xml:space="preserve">SPROTT INC.</w:t>
      </w:r>
    </w:p>
    <w:p>
      <w:pPr>
        <w:spacing w:after="100"/>
        <w:jc w:val="center"/>
      </w:pPr>
      <w:r>
        <w:rPr>
          <w:rFonts w:ascii="Arial" w:cs="Arial" w:eastAsia="Arial" w:hAnsi="Arial"/>
          <w:color w:val="3A8F85"/>
          <w:sz w:val="40"/>
          <w:szCs w:val="40"/>
        </w:rPr>
        <w:t xml:space="preserve">Oracle ERP Cloud Implementation</w:t>
      </w:r>
    </w:p>
    <w:p>
      <w:pPr>
        <w:spacing w:after="100"/>
        <w:jc w:val="center"/>
      </w:pPr>
      <w:r>
        <w:rPr>
          <w:rFonts w:ascii="Arial" w:cs="Arial" w:eastAsia="Arial" w:hAnsi="Arial"/>
          <w:color w:val="2C3E50"/>
          <w:sz w:val="36"/>
          <w:szCs w:val="36"/>
        </w:rPr>
        <w:t xml:space="preserve">Comprehensive Input Document</w:t>
      </w:r>
    </w:p>
    <w:p>
      <w:pPr>
        <w:pBdr>
          <w:bottom w:val="single" w:color="D4A853" w:sz="3" w:space="1"/>
        </w:pBdr>
        <w:spacing w:after="200" w:before="200"/>
      </w:pPr>
    </w:p>
    <w:p>
      <w:pPr>
        <w:spacing w:after="60"/>
        <w:jc w:val="center"/>
      </w:pPr>
      <w:r>
        <w:rPr>
          <w:rFonts w:ascii="Arial" w:cs="Arial" w:eastAsia="Arial" w:hAnsi="Arial"/>
          <w:b/>
          <w:bCs/>
          <w:color w:val="D4A853"/>
          <w:sz w:val="28"/>
          <w:szCs w:val="28"/>
        </w:rPr>
        <w:t xml:space="preserve">Asset Management Scenario</w:t>
      </w:r>
    </w:p>
    <w:p>
      <w:pPr>
        <w:spacing w:after="400"/>
        <w:jc w:val="center"/>
      </w:pPr>
      <w:r>
        <w:rPr>
          <w:rFonts w:ascii="Arial" w:cs="Arial" w:eastAsia="Arial" w:hAnsi="Arial"/>
          <w:color w:val="333333"/>
          <w:sz w:val="22"/>
          <w:szCs w:val="22"/>
        </w:rPr>
        <w:t xml:space="preserve">Company Profile | Financial Statements | Legal Entities | Implementation Scope</w:t>
      </w:r>
    </w:p>
    <w:p>
      <w:pPr>
        <w:pBdr>
          <w:bottom w:val="single" w:color="D4A853" w:sz="3" w:space="1"/>
        </w:pBdr>
        <w:spacing w:after="200" w:before="200"/>
      </w:pPr>
    </w:p>
    <w:p>
      <w:pPr>
        <w:spacing w:after="60"/>
        <w:jc w:val="center"/>
      </w:pPr>
      <w:r>
        <w:rPr>
          <w:rFonts w:ascii="Arial" w:cs="Arial" w:eastAsia="Arial" w:hAnsi="Arial"/>
          <w:color w:val="333333"/>
          <w:sz w:val="22"/>
          <w:szCs w:val="22"/>
        </w:rPr>
        <w:t xml:space="preserve">Prepared for: Sprott Inc. Executive Leadership</w:t>
      </w:r>
    </w:p>
    <w:p>
      <w:pPr>
        <w:spacing w:after="60"/>
        <w:jc w:val="center"/>
      </w:pPr>
      <w:r>
        <w:rPr>
          <w:rFonts w:ascii="Arial" w:cs="Arial" w:eastAsia="Arial" w:hAnsi="Arial"/>
          <w:color w:val="333333"/>
          <w:sz w:val="22"/>
          <w:szCs w:val="22"/>
        </w:rPr>
        <w:t xml:space="preserve">Version: 1.0  |  Date: March 2026</w:t>
      </w:r>
    </w:p>
    <w:p>
      <w:pPr>
        <w:spacing w:after="60"/>
        <w:jc w:val="center"/>
      </w:pPr>
      <w:r>
        <w:rPr>
          <w:rFonts w:ascii="Arial" w:cs="Arial" w:eastAsia="Arial" w:hAnsi="Arial"/>
          <w:b/>
          <w:bCs/>
          <w:color w:val="2E6B62"/>
          <w:sz w:val="22"/>
          <w:szCs w:val="22"/>
        </w:rPr>
        <w:t xml:space="preserve">Classification: 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2E6B6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2E6B62"/>
          <w:sz w:val="32"/>
          <w:szCs w:val="32"/>
        </w:rPr>
        <w:t xml:space="preserve">1. Executive Summary</w:t>
      </w:r>
    </w:p>
    <w:p>
      <w:pPr>
        <w:spacing w:after="120"/>
      </w:pPr>
      <w:r>
        <w:rPr>
          <w:rFonts w:ascii="Arial" w:cs="Arial" w:eastAsia="Arial" w:hAnsi="Arial"/>
          <w:color w:val="333333"/>
          <w:sz w:val="22"/>
          <w:szCs w:val="22"/>
        </w:rPr>
        <w:t xml:space="preserve">This document serves as the comprehensive input specification for the Oracle ERP Cloud implementation at Sprott Inc. It consolidates the company profile, financial landscape, legal entity structure, regulatory requirements, and detailed implementation scope to enable an automated, accelerated deployment of Oracle Fusion Cloud ERP across all Sprott business segments.</w:t>
      </w:r>
    </w:p>
    <w:p>
      <w:pPr>
        <w:spacing w:after="120"/>
      </w:pPr>
      <w:r>
        <w:rPr>
          <w:rFonts w:ascii="Arial" w:cs="Arial" w:eastAsia="Arial" w:hAnsi="Arial"/>
          <w:color w:val="333333"/>
          <w:sz w:val="22"/>
          <w:szCs w:val="22"/>
        </w:rPr>
        <w:t xml:space="preserve">Sprott Inc., founded in 1981 by Eric Sprott, is a global leader in precious metals and critical materials investments. With assets under management of US$59.6 billion (as at December 31, 2025) growing to US$70.1 billion by February 2026, Sprott represents a high-growth asset management firm with complex multi-entity, multi-jurisdictional accounting requirements that demand a modern cloud ERP platform.</w:t>
      </w:r>
    </w:p>
    <w:p>
      <w:pPr>
        <w:spacing w:after="120"/>
      </w:pPr>
      <w:r>
        <w:rPr>
          <w:rFonts w:ascii="Arial" w:cs="Arial" w:eastAsia="Arial" w:hAnsi="Arial"/>
          <w:color w:val="333333"/>
          <w:sz w:val="22"/>
          <w:szCs w:val="22"/>
        </w:rPr>
        <w:t xml:space="preserve">The Oracle ERP Cloud platform will replace fragmented legacy systems and manual processes, providing Sprott with a unified financial backbone spanning General Ledger, Accounts Payable, Accounts Receivable, Fixed Assets, Cash Management, Tax, Intercompany, and Management Reporting across all legal entities and fund structures.</w:t>
      </w:r>
    </w:p>
    <w:p>
      <w:pPr>
        <w:pBdr>
          <w:bottom w:val="single" w:color="D4A853" w:sz="3" w:space="1"/>
        </w:pBdr>
        <w:spacing w:after="200" w:before="200"/>
      </w:pPr>
    </w:p>
    <w:p>
      <w:pPr>
        <w:pStyle w:val="Heading1"/>
        <w:spacing w:after="200" w:before="360"/>
      </w:pPr>
      <w:r>
        <w:rPr>
          <w:rFonts w:ascii="Arial" w:cs="Arial" w:eastAsia="Arial" w:hAnsi="Arial"/>
          <w:b/>
          <w:bCs/>
          <w:color w:val="2E6B62"/>
          <w:sz w:val="32"/>
          <w:szCs w:val="32"/>
        </w:rPr>
        <w:t xml:space="preserve">2. Company Profile</w:t>
      </w:r>
    </w:p>
    <w:p>
      <w:pPr>
        <w:pStyle w:val="Heading2"/>
        <w:spacing w:after="160" w:before="280"/>
      </w:pPr>
      <w:r>
        <w:rPr>
          <w:rFonts w:ascii="Arial" w:cs="Arial" w:eastAsia="Arial" w:hAnsi="Arial"/>
          <w:b/>
          <w:bCs/>
          <w:color w:val="3A8F85"/>
          <w:sz w:val="28"/>
          <w:szCs w:val="28"/>
        </w:rPr>
        <w:t xml:space="preserve">2.1 Corporate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Attribute</w:t>
            </w:r>
          </w:p>
        </w:tc>
        <w:tc>
          <w:tcPr>
            <w:tcW w:type="dxa" w:w="536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Legal Name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Inc.</w:t>
            </w:r>
          </w:p>
        </w:tc>
      </w:tr>
      <w:tr>
        <w:tc>
          <w:tcPr>
            <w:tcW w:type="dxa" w:w="4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Incorporation</w:t>
            </w:r>
          </w:p>
        </w:tc>
        <w:tc>
          <w:tcPr>
            <w:tcW w:type="dxa" w:w="53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Business Corporations Act (Ontario), February 13, 2008</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Headquarters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Royal Bank Plaza, South Tower, 200 Bay St, Suite 2600, Toronto, ON M5J 2J1</w:t>
            </w:r>
          </w:p>
        </w:tc>
      </w:tr>
      <w:tr>
        <w:tc>
          <w:tcPr>
            <w:tcW w:type="dxa" w:w="4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Stock Listing</w:t>
            </w:r>
          </w:p>
        </w:tc>
        <w:tc>
          <w:tcPr>
            <w:tcW w:type="dxa" w:w="53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NYSE / TSX: SII</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Founded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1981 by Eric Sprott</w:t>
            </w:r>
          </w:p>
        </w:tc>
      </w:tr>
      <w:tr>
        <w:tc>
          <w:tcPr>
            <w:tcW w:type="dxa" w:w="4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Employees</w:t>
            </w:r>
          </w:p>
        </w:tc>
        <w:tc>
          <w:tcPr>
            <w:tcW w:type="dxa" w:w="53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~200 (estimated across all entities)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Global Offices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Toronto (HQ), New York, Connecticut, California</w:t>
            </w:r>
          </w:p>
        </w:tc>
      </w:tr>
      <w:tr>
        <w:tc>
          <w:tcPr>
            <w:tcW w:type="dxa" w:w="4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Client Base</w:t>
            </w:r>
          </w:p>
        </w:tc>
        <w:tc>
          <w:tcPr>
            <w:tcW w:type="dxa" w:w="53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250,000+ clients globally</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AUM (Dec 31, 2025)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US$59.6 billion</w:t>
            </w:r>
          </w:p>
        </w:tc>
      </w:tr>
      <w:tr>
        <w:tc>
          <w:tcPr>
            <w:tcW w:type="dxa" w:w="4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AUM (Feb 13, 2026)</w:t>
            </w:r>
          </w:p>
        </w:tc>
        <w:tc>
          <w:tcPr>
            <w:tcW w:type="dxa" w:w="53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US$70.1 billion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Industry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Asset Management — Precious Metals &amp; Critical Materials</w:t>
            </w:r>
          </w:p>
        </w:tc>
      </w:tr>
      <w:tr>
        <w:tc>
          <w:tcPr>
            <w:tcW w:type="dxa" w:w="4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Fiscal Year End</w:t>
            </w:r>
          </w:p>
        </w:tc>
        <w:tc>
          <w:tcPr>
            <w:tcW w:type="dxa" w:w="53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December 31</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Reporting Currency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US Dollar (USD)</w:t>
            </w:r>
          </w:p>
        </w:tc>
      </w:tr>
      <w:tr>
        <w:tc>
          <w:tcPr>
            <w:tcW w:type="dxa" w:w="4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Reporting Standards</w:t>
            </w:r>
          </w:p>
        </w:tc>
        <w:tc>
          <w:tcPr>
            <w:tcW w:type="dxa" w:w="53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IFRS (International Financial Reporting Standards)</w:t>
            </w:r>
          </w:p>
        </w:tc>
      </w:tr>
    </w:tbl>
    <w:p>
      <w:pPr>
        <w:pStyle w:val="Heading2"/>
        <w:spacing w:after="160" w:before="280"/>
      </w:pPr>
      <w:r>
        <w:rPr>
          <w:rFonts w:ascii="Arial" w:cs="Arial" w:eastAsia="Arial" w:hAnsi="Arial"/>
          <w:b/>
          <w:bCs/>
          <w:color w:val="3A8F85"/>
          <w:sz w:val="28"/>
          <w:szCs w:val="28"/>
        </w:rPr>
        <w:t xml:space="preserve">2.2 Business Segments</w:t>
      </w:r>
    </w:p>
    <w:p>
      <w:pPr>
        <w:spacing w:after="120"/>
      </w:pPr>
      <w:r>
        <w:rPr>
          <w:rFonts w:ascii="Arial" w:cs="Arial" w:eastAsia="Arial" w:hAnsi="Arial"/>
          <w:color w:val="333333"/>
          <w:sz w:val="22"/>
          <w:szCs w:val="22"/>
        </w:rPr>
        <w:t xml:space="preserve">Sprott operates through four distinct business segments, each with unique revenue models, fee structures, and accounting requirements:</w:t>
      </w:r>
    </w:p>
    <w:p>
      <w:pPr>
        <w:pStyle w:val="Heading3"/>
        <w:spacing w:after="120" w:before="200"/>
      </w:pPr>
      <w:r>
        <w:rPr>
          <w:rFonts w:ascii="Arial" w:cs="Arial" w:eastAsia="Arial" w:hAnsi="Arial"/>
          <w:b/>
          <w:bCs/>
          <w:color w:val="2C3E50"/>
          <w:sz w:val="24"/>
          <w:szCs w:val="24"/>
        </w:rPr>
        <w:t xml:space="preserve">2.2.1 Exchange Listed Products (ELP)</w:t>
      </w:r>
    </w:p>
    <w:p>
      <w:pPr>
        <w:spacing w:after="120"/>
      </w:pPr>
      <w:r>
        <w:rPr>
          <w:rFonts w:ascii="Arial" w:cs="Arial" w:eastAsia="Arial" w:hAnsi="Arial"/>
          <w:color w:val="333333"/>
          <w:sz w:val="22"/>
          <w:szCs w:val="22"/>
        </w:rPr>
        <w:t xml:space="preserve">The largest segment by AUM, encompassing physical bullion trusts and specialized ETFs. This segment includes Sprott Physical Gold Trust (PHYS), Sprott Physical Silver Trust (PSLV), Sprott Physical Platinum &amp; Palladium Trust, Sprott Physical Uranium Trust (SRUUF), Sprott Physical Copper Trust, and 12 specialized ETFs covering critical materials, uranium, copper, lithium, nickel, and precious metals mining. Revenue is primarily management fee-based, calculated as a percentage of AUM.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600"/>
        <w:gridCol w:w="3260"/>
      </w:tblGrid>
      <w:tr>
        <w:tc>
          <w:tcPr>
            <w:tcW w:type="dxa" w:w="35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Fund / Product</w:t>
            </w:r>
          </w:p>
        </w:tc>
        <w:tc>
          <w:tcPr>
            <w:tcW w:type="dxa" w:w="26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AUM Category</w:t>
            </w:r>
          </w:p>
        </w:tc>
        <w:tc>
          <w:tcPr>
            <w:tcW w:type="dxa" w:w="326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Fee Model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Physical Gold Trust (PHYS)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Precious Metals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Management fee (% of NAV)</w:t>
            </w:r>
          </w:p>
        </w:tc>
      </w:tr>
      <w:tr>
        <w:tc>
          <w:tcPr>
            <w:tcW w:type="dxa" w:w="3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Physical Silver Trust (PSLV)</w:t>
            </w:r>
          </w:p>
        </w:tc>
        <w:tc>
          <w:tcPr>
            <w:tcW w:type="dxa" w:w="26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Precious Metals</w:t>
            </w:r>
          </w:p>
        </w:tc>
        <w:tc>
          <w:tcPr>
            <w:tcW w:type="dxa" w:w="32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Management fee (% of NAV)</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Physical Platinum &amp; Palladium Trust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Precious Metals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Management fee (% of NAV)</w:t>
            </w:r>
          </w:p>
        </w:tc>
      </w:tr>
      <w:tr>
        <w:tc>
          <w:tcPr>
            <w:tcW w:type="dxa" w:w="3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Physical Uranium Trust (SRUUF)</w:t>
            </w:r>
          </w:p>
        </w:tc>
        <w:tc>
          <w:tcPr>
            <w:tcW w:type="dxa" w:w="26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Critical Materials</w:t>
            </w:r>
          </w:p>
        </w:tc>
        <w:tc>
          <w:tcPr>
            <w:tcW w:type="dxa" w:w="32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Management fee (% of NAV)</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Physical Copper Trust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Critical Materials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Management fee (% of NAV)</w:t>
            </w:r>
          </w:p>
        </w:tc>
      </w:tr>
      <w:tr>
        <w:tc>
          <w:tcPr>
            <w:tcW w:type="dxa" w:w="3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Uranium Miners ETF (URNM)</w:t>
            </w:r>
          </w:p>
        </w:tc>
        <w:tc>
          <w:tcPr>
            <w:tcW w:type="dxa" w:w="26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Critical Materials ETF</w:t>
            </w:r>
          </w:p>
        </w:tc>
        <w:tc>
          <w:tcPr>
            <w:tcW w:type="dxa" w:w="32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Management fee (expense ratio)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Junior Uranium Miners ETF (URNJ)</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Critical Materials ETF</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Management fee (expense ratio)</w:t>
            </w:r>
          </w:p>
        </w:tc>
      </w:tr>
      <w:tr>
        <w:tc>
          <w:tcPr>
            <w:tcW w:type="dxa" w:w="3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Silver Miners &amp; Physical Silver ETF (SLVR)</w:t>
            </w:r>
          </w:p>
        </w:tc>
        <w:tc>
          <w:tcPr>
            <w:tcW w:type="dxa" w:w="26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Precious Metals ETF</w:t>
            </w:r>
          </w:p>
        </w:tc>
        <w:tc>
          <w:tcPr>
            <w:tcW w:type="dxa" w:w="32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Management fee (expense ratio)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Copper Miners ETF (COPP)</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Critical Materials ETF</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Management fee (expense ratio)</w:t>
            </w:r>
          </w:p>
        </w:tc>
      </w:tr>
      <w:tr>
        <w:tc>
          <w:tcPr>
            <w:tcW w:type="dxa" w:w="3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Lithium Miners ETF (LITP)</w:t>
            </w:r>
          </w:p>
        </w:tc>
        <w:tc>
          <w:tcPr>
            <w:tcW w:type="dxa" w:w="26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Critical Materials ETF</w:t>
            </w:r>
          </w:p>
        </w:tc>
        <w:tc>
          <w:tcPr>
            <w:tcW w:type="dxa" w:w="32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Management fee (expense ratio)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Nickel Miners ETF (NIKL)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Critical Materials ETF</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Management fee (expense ratio)</w:t>
            </w:r>
          </w:p>
        </w:tc>
      </w:tr>
      <w:tr>
        <w:tc>
          <w:tcPr>
            <w:tcW w:type="dxa" w:w="3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Gold Miners ETF (SGDM)</w:t>
            </w:r>
          </w:p>
        </w:tc>
        <w:tc>
          <w:tcPr>
            <w:tcW w:type="dxa" w:w="26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Precious Metals ETF</w:t>
            </w:r>
          </w:p>
        </w:tc>
        <w:tc>
          <w:tcPr>
            <w:tcW w:type="dxa" w:w="32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Management fee (expense ratio)</w:t>
            </w:r>
          </w:p>
        </w:tc>
      </w:tr>
    </w:tbl>
    <w:p>
      <w:pPr>
        <w:pStyle w:val="Heading3"/>
        <w:spacing w:after="120" w:before="200"/>
      </w:pPr>
      <w:r>
        <w:rPr>
          <w:rFonts w:ascii="Arial" w:cs="Arial" w:eastAsia="Arial" w:hAnsi="Arial"/>
          <w:b/>
          <w:bCs/>
          <w:color w:val="2C3E50"/>
          <w:sz w:val="24"/>
          <w:szCs w:val="24"/>
        </w:rPr>
        <w:t xml:space="preserve">2.2.2 Managed Equities</w:t>
      </w:r>
    </w:p>
    <w:p>
      <w:pPr>
        <w:spacing w:after="120"/>
      </w:pPr>
      <w:r>
        <w:rPr>
          <w:rFonts w:ascii="Arial" w:cs="Arial" w:eastAsia="Arial" w:hAnsi="Arial"/>
          <w:color w:val="333333"/>
          <w:sz w:val="22"/>
          <w:szCs w:val="22"/>
        </w:rPr>
        <w:t xml:space="preserve">Active equity strategies focused on the precious metals and critical materials sectors. Includes Sprott Gold Equity Fund, Sprott Focus Trust, concentrated M&amp;A strategies, and non-US UCITS funds via the HANetf partnership. AUM reached $5.7 billion at year-end 2025, up 97% year-over-year. Revenue includes management fees and performance-based carried interest.</w:t>
      </w:r>
    </w:p>
    <w:p>
      <w:pPr>
        <w:pStyle w:val="Heading3"/>
        <w:spacing w:after="120" w:before="200"/>
      </w:pPr>
      <w:r>
        <w:rPr>
          <w:rFonts w:ascii="Arial" w:cs="Arial" w:eastAsia="Arial" w:hAnsi="Arial"/>
          <w:b/>
          <w:bCs/>
          <w:color w:val="2C3E50"/>
          <w:sz w:val="24"/>
          <w:szCs w:val="24"/>
        </w:rPr>
        <w:t xml:space="preserve">2.2.3 Private Strategies</w:t>
      </w:r>
    </w:p>
    <w:p>
      <w:pPr>
        <w:spacing w:after="120"/>
      </w:pPr>
      <w:r>
        <w:rPr>
          <w:rFonts w:ascii="Arial" w:cs="Arial" w:eastAsia="Arial" w:hAnsi="Arial"/>
          <w:color w:val="333333"/>
          <w:sz w:val="22"/>
          <w:szCs w:val="22"/>
        </w:rPr>
        <w:t xml:space="preserve">Private market investment vehicles including Natural Resource Investment Partners, Sprott Resource Streaming and Royalty Corp (SRSR), and Physical Commodities Strategy. AUM was $2.1 billion at year-end 2025. Revenue includes management fees (0.85% of AUM), carried interest, and performance fees. These structures require complex partnership accounting and waterfall distribution calculations.</w:t>
      </w:r>
    </w:p>
    <w:p>
      <w:pPr>
        <w:pStyle w:val="Heading3"/>
        <w:spacing w:after="120" w:before="200"/>
      </w:pPr>
      <w:r>
        <w:rPr>
          <w:rFonts w:ascii="Arial" w:cs="Arial" w:eastAsia="Arial" w:hAnsi="Arial"/>
          <w:b/>
          <w:bCs/>
          <w:color w:val="2C3E50"/>
          <w:sz w:val="24"/>
          <w:szCs w:val="24"/>
        </w:rPr>
        <w:t xml:space="preserve">2.2.4 Corporate</w:t>
      </w:r>
    </w:p>
    <w:p>
      <w:pPr>
        <w:spacing w:after="120"/>
      </w:pPr>
      <w:r>
        <w:rPr>
          <w:rFonts w:ascii="Arial" w:cs="Arial" w:eastAsia="Arial" w:hAnsi="Arial"/>
          <w:color w:val="333333"/>
          <w:sz w:val="22"/>
          <w:szCs w:val="22"/>
        </w:rPr>
        <w:t xml:space="preserve">The Corporate segment provides capital allocation, balance sheet management, and enterprise shared services to all subsidiaries. It manages the corporate treasury function, intercompany transactions, and group-level financial consolidation and reporting.</w:t>
      </w:r>
    </w:p>
    <w:p>
      <w:pPr>
        <w:pStyle w:val="Heading2"/>
        <w:spacing w:after="160" w:before="280"/>
      </w:pPr>
      <w:r>
        <w:rPr>
          <w:rFonts w:ascii="Arial" w:cs="Arial" w:eastAsia="Arial" w:hAnsi="Arial"/>
          <w:b/>
          <w:bCs/>
          <w:color w:val="3A8F85"/>
          <w:sz w:val="28"/>
          <w:szCs w:val="28"/>
        </w:rPr>
        <w:t xml:space="preserve">2.3 AUM Breakdown by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Segment</w:t>
            </w:r>
          </w:p>
        </w:tc>
        <w:tc>
          <w:tcPr>
            <w:tcW w:type="dxa" w:w="22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AUM (Dec 31, 2025)</w:t>
            </w:r>
          </w:p>
        </w:tc>
        <w:tc>
          <w:tcPr>
            <w:tcW w:type="dxa" w:w="22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Net Mgmt Fee Rate</w:t>
            </w:r>
          </w:p>
        </w:tc>
        <w:tc>
          <w:tcPr>
            <w:tcW w:type="dxa" w:w="216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YoY Growth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Precious Metals Physical Trusts &amp; ETFs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US$42.6 billion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0.39%</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+97%</w:t>
            </w:r>
          </w:p>
        </w:tc>
      </w:tr>
      <w:tr>
        <w:tc>
          <w:tcPr>
            <w:tcW w:type="dxa" w:w="28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Critical Materials Trusts &amp; ETFs</w:t>
            </w:r>
          </w:p>
        </w:tc>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US$9.2 billion</w:t>
            </w:r>
          </w:p>
        </w:tc>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0.37%</w:t>
            </w:r>
          </w:p>
        </w:tc>
        <w:tc>
          <w:tcPr>
            <w:tcW w:type="dxa" w:w="21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+94%</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Managed Equities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US$5.7 billion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0.82%</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+97%</w:t>
            </w:r>
          </w:p>
        </w:tc>
      </w:tr>
      <w:tr>
        <w:tc>
          <w:tcPr>
            <w:tcW w:type="dxa" w:w="28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Private Strategies</w:t>
            </w:r>
          </w:p>
        </w:tc>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US$2.1 billion</w:t>
            </w:r>
          </w:p>
        </w:tc>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0.85%</w:t>
            </w:r>
          </w:p>
        </w:tc>
        <w:tc>
          <w:tcPr>
            <w:tcW w:type="dxa" w:w="21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Stable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Total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US$59.6 billion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0.44% (blended)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+89%</w:t>
            </w:r>
          </w:p>
        </w:tc>
      </w:tr>
    </w:tbl>
    <w:p>
      <w:pPr>
        <w:pStyle w:val="Heading2"/>
        <w:spacing w:after="160" w:before="280"/>
      </w:pPr>
      <w:r>
        <w:rPr>
          <w:rFonts w:ascii="Arial" w:cs="Arial" w:eastAsia="Arial" w:hAnsi="Arial"/>
          <w:b/>
          <w:bCs/>
          <w:color w:val="3A8F85"/>
          <w:sz w:val="28"/>
          <w:szCs w:val="28"/>
        </w:rPr>
        <w:t xml:space="preserve">2.4 Company History and Milestones</w:t>
      </w:r>
    </w:p>
    <w:p>
      <w:pPr>
        <w:pStyle w:val="ListParagraph"/>
        <w:numPr>
          <w:ilvl w:val="0"/>
          <w:numId w:val="2"/>
        </w:numPr>
        <w:spacing w:after="60"/>
      </w:pPr>
      <w:r>
        <w:rPr>
          <w:rFonts w:ascii="Arial" w:cs="Arial" w:eastAsia="Arial" w:hAnsi="Arial"/>
          <w:color w:val="333333"/>
          <w:sz w:val="22"/>
          <w:szCs w:val="22"/>
        </w:rPr>
        <w:t xml:space="preserve">1981: Founded by Eric Sprott as Sprott Securities</w:t>
      </w:r>
    </w:p>
    <w:p>
      <w:pPr>
        <w:pStyle w:val="ListParagraph"/>
        <w:numPr>
          <w:ilvl w:val="0"/>
          <w:numId w:val="2"/>
        </w:numPr>
        <w:spacing w:after="60"/>
      </w:pPr>
      <w:r>
        <w:rPr>
          <w:rFonts w:ascii="Arial" w:cs="Arial" w:eastAsia="Arial" w:hAnsi="Arial"/>
          <w:color w:val="333333"/>
          <w:sz w:val="22"/>
          <w:szCs w:val="22"/>
        </w:rPr>
        <w:t xml:space="preserve">2008: Incorporated as Sprott Inc. under the OBCA; IPO on TSX</w:t>
      </w:r>
    </w:p>
    <w:p>
      <w:pPr>
        <w:pStyle w:val="ListParagraph"/>
        <w:numPr>
          <w:ilvl w:val="0"/>
          <w:numId w:val="2"/>
        </w:numPr>
        <w:spacing w:after="60"/>
      </w:pPr>
      <w:r>
        <w:rPr>
          <w:rFonts w:ascii="Arial" w:cs="Arial" w:eastAsia="Arial" w:hAnsi="Arial"/>
          <w:color w:val="333333"/>
          <w:sz w:val="22"/>
          <w:szCs w:val="22"/>
        </w:rPr>
        <w:t xml:space="preserve">2017: Acquired Central Fund of Canada, creating Sprott Physical Gold &amp; Silver Trust</w:t>
      </w:r>
    </w:p>
    <w:p>
      <w:pPr>
        <w:pStyle w:val="ListParagraph"/>
        <w:numPr>
          <w:ilvl w:val="0"/>
          <w:numId w:val="2"/>
        </w:numPr>
        <w:spacing w:after="60"/>
      </w:pPr>
      <w:r>
        <w:rPr>
          <w:rFonts w:ascii="Arial" w:cs="Arial" w:eastAsia="Arial" w:hAnsi="Arial"/>
          <w:color w:val="333333"/>
          <w:sz w:val="22"/>
          <w:szCs w:val="22"/>
        </w:rPr>
        <w:t xml:space="preserve">2021: Sprott Physical Uranium Trust launch; major growth in critical materials</w:t>
      </w:r>
    </w:p>
    <w:p>
      <w:pPr>
        <w:pStyle w:val="ListParagraph"/>
        <w:numPr>
          <w:ilvl w:val="0"/>
          <w:numId w:val="2"/>
        </w:numPr>
        <w:spacing w:after="60"/>
      </w:pPr>
      <w:r>
        <w:rPr>
          <w:rFonts w:ascii="Arial" w:cs="Arial" w:eastAsia="Arial" w:hAnsi="Arial"/>
          <w:color w:val="333333"/>
          <w:sz w:val="22"/>
          <w:szCs w:val="22"/>
        </w:rPr>
        <w:t xml:space="preserve">2022: NYSE dual-listing as SII; expansion of ETF platform</w:t>
      </w:r>
    </w:p>
    <w:p>
      <w:pPr>
        <w:pStyle w:val="ListParagraph"/>
        <w:numPr>
          <w:ilvl w:val="0"/>
          <w:numId w:val="2"/>
        </w:numPr>
        <w:spacing w:after="60"/>
      </w:pPr>
      <w:r>
        <w:rPr>
          <w:rFonts w:ascii="Arial" w:cs="Arial" w:eastAsia="Arial" w:hAnsi="Arial"/>
          <w:color w:val="333333"/>
          <w:sz w:val="22"/>
          <w:szCs w:val="22"/>
        </w:rPr>
        <w:t xml:space="preserve">2023: Sale of Sprott Capital Partners LP; pivot to pure-play asset management</w:t>
      </w:r>
    </w:p>
    <w:p>
      <w:pPr>
        <w:pStyle w:val="ListParagraph"/>
        <w:numPr>
          <w:ilvl w:val="0"/>
          <w:numId w:val="2"/>
        </w:numPr>
        <w:spacing w:after="60"/>
      </w:pPr>
      <w:r>
        <w:rPr>
          <w:rFonts w:ascii="Arial" w:cs="Arial" w:eastAsia="Arial" w:hAnsi="Arial"/>
          <w:color w:val="333333"/>
          <w:sz w:val="22"/>
          <w:szCs w:val="22"/>
        </w:rPr>
        <w:t xml:space="preserve">2024: AUM reaches $31.5 billion; continued ETF innovation</w:t>
      </w:r>
    </w:p>
    <w:p>
      <w:pPr>
        <w:pStyle w:val="ListParagraph"/>
        <w:numPr>
          <w:ilvl w:val="0"/>
          <w:numId w:val="2"/>
        </w:numPr>
        <w:spacing w:after="60"/>
      </w:pPr>
      <w:r>
        <w:rPr>
          <w:rFonts w:ascii="Arial" w:cs="Arial" w:eastAsia="Arial" w:hAnsi="Arial"/>
          <w:color w:val="333333"/>
          <w:sz w:val="22"/>
          <w:szCs w:val="22"/>
        </w:rPr>
        <w:t xml:space="preserve">2025: Record year — AUM grows 89% to $59.6 billion; net income up 37%</w:t>
      </w:r>
    </w:p>
    <w:p>
      <w:pPr>
        <w:pStyle w:val="ListParagraph"/>
        <w:numPr>
          <w:ilvl w:val="0"/>
          <w:numId w:val="2"/>
        </w:numPr>
        <w:spacing w:after="60"/>
      </w:pPr>
      <w:r>
        <w:rPr>
          <w:rFonts w:ascii="Arial" w:cs="Arial" w:eastAsia="Arial" w:hAnsi="Arial"/>
          <w:color w:val="333333"/>
          <w:sz w:val="22"/>
          <w:szCs w:val="22"/>
        </w:rPr>
        <w:t xml:space="preserve">2026 (Feb): AUM surpasses $70.1 billion; SLVR ETF crosses $1 billion AUM</w:t>
      </w:r>
    </w:p>
    <w:p>
      <w:r>
        <w:br w:type="page"/>
      </w:r>
    </w:p>
    <w:p>
      <w:pPr>
        <w:pStyle w:val="Heading1"/>
        <w:spacing w:after="200" w:before="360"/>
      </w:pPr>
      <w:r>
        <w:rPr>
          <w:rFonts w:ascii="Arial" w:cs="Arial" w:eastAsia="Arial" w:hAnsi="Arial"/>
          <w:b/>
          <w:bCs/>
          <w:color w:val="2E6B62"/>
          <w:sz w:val="32"/>
          <w:szCs w:val="32"/>
        </w:rPr>
        <w:t xml:space="preserve">3. Detailed Financial Statements (FY 2025)</w:t>
      </w:r>
    </w:p>
    <w:p>
      <w:pPr>
        <w:pStyle w:val="Heading2"/>
        <w:spacing w:after="160" w:before="280"/>
      </w:pPr>
      <w:r>
        <w:rPr>
          <w:rFonts w:ascii="Arial" w:cs="Arial" w:eastAsia="Arial" w:hAnsi="Arial"/>
          <w:b/>
          <w:bCs/>
          <w:color w:val="3A8F85"/>
          <w:sz w:val="28"/>
          <w:szCs w:val="28"/>
        </w:rPr>
        <w:t xml:space="preserve">3.1 Consolidated Income Statement</w:t>
      </w:r>
    </w:p>
    <w:p>
      <w:pPr>
        <w:spacing w:after="120"/>
      </w:pPr>
      <w:r>
        <w:rPr>
          <w:rFonts w:ascii="Arial" w:cs="Arial" w:eastAsia="Arial" w:hAnsi="Arial"/>
          <w:color w:val="333333"/>
          <w:sz w:val="22"/>
          <w:szCs w:val="22"/>
        </w:rPr>
        <w:t xml:space="preserve">Full-year results for the fiscal year ended December 31, 2025, reported under IFRS: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W w:type="dxa" w:w="30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Line Item</w:t>
            </w:r>
          </w:p>
        </w:tc>
        <w:tc>
          <w:tcPr>
            <w:tcW w:type="dxa" w:w="22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FY 2025 (US$ M)</w:t>
            </w:r>
          </w:p>
        </w:tc>
        <w:tc>
          <w:tcPr>
            <w:tcW w:type="dxa" w:w="22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FY 2024 (US$ M)</w:t>
            </w:r>
          </w:p>
        </w:tc>
        <w:tc>
          <w:tcPr>
            <w:tcW w:type="dxa" w:w="196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Change (%)</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Management Fees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$199.0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$155.5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+28%</w:t>
            </w:r>
          </w:p>
        </w:tc>
      </w:tr>
      <w:tr>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Carried Interest &amp; Performance Fees</w:t>
            </w:r>
          </w:p>
        </w:tc>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$54.7</w:t>
            </w:r>
          </w:p>
        </w:tc>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$7.4</w:t>
            </w:r>
          </w:p>
        </w:tc>
        <w:tc>
          <w:tcPr>
            <w:tcW w:type="dxa" w:w="19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+639%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Commission Revenues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$5.8</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+47%</w:t>
            </w:r>
          </w:p>
        </w:tc>
      </w:tr>
      <w:tr>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Finance Income</w:t>
            </w:r>
          </w:p>
        </w:tc>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$6.7</w:t>
            </w:r>
          </w:p>
        </w:tc>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w:t>
            </w:r>
          </w:p>
        </w:tc>
        <w:tc>
          <w:tcPr>
            <w:tcW w:type="dxa" w:w="19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Other Income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$16.2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+224%</w:t>
            </w:r>
          </w:p>
        </w:tc>
      </w:tr>
      <w:tr>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Total Revenues</w:t>
            </w:r>
          </w:p>
        </w:tc>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$285.1</w:t>
            </w:r>
          </w:p>
        </w:tc>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$178.7</w:t>
            </w:r>
          </w:p>
        </w:tc>
        <w:tc>
          <w:tcPr>
            <w:tcW w:type="dxa" w:w="19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Net Compensation</w:t>
            </w:r>
          </w:p>
        </w:tc>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$75.1</w:t>
            </w:r>
          </w:p>
        </w:tc>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$55.5</w:t>
            </w:r>
          </w:p>
        </w:tc>
        <w:tc>
          <w:tcPr>
            <w:tcW w:type="dxa" w:w="19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+35%</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Stock-Based Compensation (IFRS 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$75.5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$18.8</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+302%</w:t>
            </w:r>
          </w:p>
        </w:tc>
      </w:tr>
      <w:tr>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SG&amp;A Expenses</w:t>
            </w:r>
          </w:p>
        </w:tc>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$18.5</w:t>
            </w:r>
          </w:p>
        </w:tc>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$16.2</w:t>
            </w:r>
          </w:p>
        </w:tc>
        <w:tc>
          <w:tcPr>
            <w:tcW w:type="dxa" w:w="19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Interest Expense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w:t>
            </w:r>
          </w:p>
        </w:tc>
      </w:tr>
      <w:tr>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Depreciation &amp; Amortization</w:t>
            </w:r>
          </w:p>
        </w:tc>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$2.4</w:t>
            </w:r>
          </w:p>
        </w:tc>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$2.2</w:t>
            </w:r>
          </w:p>
        </w:tc>
        <w:tc>
          <w:tcPr>
            <w:tcW w:type="dxa" w:w="19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Total Operating Expenses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$172.7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$93.7</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+84%</w:t>
            </w:r>
          </w:p>
        </w:tc>
      </w:tr>
      <w:tr>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9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Operating Income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$112.4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$85.0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+32%</w:t>
            </w:r>
          </w:p>
        </w:tc>
      </w:tr>
      <w:tr>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Income Tax Expense</w:t>
            </w:r>
          </w:p>
        </w:tc>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$45.1</w:t>
            </w:r>
          </w:p>
        </w:tc>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$35.7</w:t>
            </w:r>
          </w:p>
        </w:tc>
        <w:tc>
          <w:tcPr>
            <w:tcW w:type="dxa" w:w="19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+26%</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Net Income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$67.3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$49.3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+37%</w:t>
            </w:r>
          </w:p>
        </w:tc>
      </w:tr>
      <w:tr>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9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EPS (Basic)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$2.61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$1.94</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+35%</w:t>
            </w:r>
          </w:p>
        </w:tc>
      </w:tr>
      <w:tr>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Adjusted EBITDA</w:t>
            </w:r>
          </w:p>
        </w:tc>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$121.4</w:t>
            </w:r>
          </w:p>
        </w:tc>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$85.2</w:t>
            </w:r>
          </w:p>
        </w:tc>
        <w:tc>
          <w:tcPr>
            <w:tcW w:type="dxa" w:w="19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+43%</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Adjusted EBITDA Margin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59%</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+5pp</w:t>
            </w:r>
          </w:p>
        </w:tc>
      </w:tr>
    </w:tbl>
    <w:p>
      <w:pPr>
        <w:pStyle w:val="Heading2"/>
        <w:spacing w:after="160" w:before="280"/>
      </w:pPr>
      <w:r>
        <w:rPr>
          <w:rFonts w:ascii="Arial" w:cs="Arial" w:eastAsia="Arial" w:hAnsi="Arial"/>
          <w:b/>
          <w:bCs/>
          <w:color w:val="3A8F85"/>
          <w:sz w:val="28"/>
          <w:szCs w:val="28"/>
        </w:rPr>
        <w:t xml:space="preserve">3.2 Consolidated Balance Sheet</w:t>
      </w:r>
    </w:p>
    <w:p>
      <w:pPr>
        <w:spacing w:after="120"/>
      </w:pPr>
      <w:r>
        <w:rPr>
          <w:rFonts w:ascii="Arial" w:cs="Arial" w:eastAsia="Arial" w:hAnsi="Arial"/>
          <w:color w:val="333333"/>
          <w:sz w:val="22"/>
          <w:szCs w:val="22"/>
        </w:rPr>
        <w:t xml:space="preserve">As at December 31, 2025, reported under IFRS: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Balance Sheet Item</w:t>
            </w:r>
          </w:p>
        </w:tc>
        <w:tc>
          <w:tcPr>
            <w:tcW w:type="dxa" w:w="30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Dec 31, 2025 (US$ M)</w:t>
            </w:r>
          </w:p>
        </w:tc>
        <w:tc>
          <w:tcPr>
            <w:tcW w:type="dxa" w:w="286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Dec 31, 2024 (US$ 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ASSETS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r>
      <w:tr>
        <w:tc>
          <w:tcPr>
            <w:tcW w:type="dxa" w:w="3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Cash &amp; Cash Equivalents</w:t>
            </w:r>
          </w:p>
        </w:tc>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$85.0 (est.)</w:t>
            </w:r>
          </w:p>
        </w:tc>
        <w:tc>
          <w:tcPr>
            <w:tcW w:type="dxa" w:w="28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$72.0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Short-Term Investments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$45.0 (est.)</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$38.0</w:t>
            </w:r>
          </w:p>
        </w:tc>
      </w:tr>
      <w:tr>
        <w:tc>
          <w:tcPr>
            <w:tcW w:type="dxa" w:w="3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Accounts Receivable</w:t>
            </w:r>
          </w:p>
        </w:tc>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$42.0 (est.)</w:t>
            </w:r>
          </w:p>
        </w:tc>
        <w:tc>
          <w:tcPr>
            <w:tcW w:type="dxa" w:w="28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$28.0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Co-Investments in Funds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$120.0 (est.)</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$95.0</w:t>
            </w:r>
          </w:p>
        </w:tc>
      </w:tr>
      <w:tr>
        <w:tc>
          <w:tcPr>
            <w:tcW w:type="dxa" w:w="3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Intangible Assets &amp; Goodwill</w:t>
            </w:r>
          </w:p>
        </w:tc>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$150.0 (est.)</w:t>
            </w:r>
          </w:p>
        </w:tc>
        <w:tc>
          <w:tcPr>
            <w:tcW w:type="dxa" w:w="28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$95.0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Property &amp; Equipment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$8.8 (est.)</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$8.8</w:t>
            </w:r>
          </w:p>
        </w:tc>
      </w:tr>
      <w:tr>
        <w:tc>
          <w:tcPr>
            <w:tcW w:type="dxa" w:w="3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Other Assets</w:t>
            </w:r>
          </w:p>
        </w:tc>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$75.0 (est.)</w:t>
            </w:r>
          </w:p>
        </w:tc>
        <w:tc>
          <w:tcPr>
            <w:tcW w:type="dxa" w:w="28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$52.0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Total Assets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$525.8</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$388.8</w:t>
            </w:r>
          </w:p>
        </w:tc>
      </w:tr>
      <w:tr>
        <w:tc>
          <w:tcPr>
            <w:tcW w:type="dxa" w:w="3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8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LIABILITIES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r>
      <w:tr>
        <w:tc>
          <w:tcPr>
            <w:tcW w:type="dxa" w:w="3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Accounts Payable &amp; Accruals</w:t>
            </w:r>
          </w:p>
        </w:tc>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$35.0 (est.)</w:t>
            </w:r>
          </w:p>
        </w:tc>
        <w:tc>
          <w:tcPr>
            <w:tcW w:type="dxa" w:w="28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$22.0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Stock-Based Comp Liability (IFRS 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$65.0 (est.)</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$12.0</w:t>
            </w:r>
          </w:p>
        </w:tc>
      </w:tr>
      <w:tr>
        <w:tc>
          <w:tcPr>
            <w:tcW w:type="dxa" w:w="3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Deferred Revenue</w:t>
            </w:r>
          </w:p>
        </w:tc>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$15.0 (est.)</w:t>
            </w:r>
          </w:p>
        </w:tc>
        <w:tc>
          <w:tcPr>
            <w:tcW w:type="dxa" w:w="28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Long-Term Debt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$30.0 (est.)</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$15.0</w:t>
            </w:r>
          </w:p>
        </w:tc>
      </w:tr>
      <w:tr>
        <w:tc>
          <w:tcPr>
            <w:tcW w:type="dxa" w:w="3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Other Liabilities</w:t>
            </w:r>
          </w:p>
        </w:tc>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$13.5 (est.)</w:t>
            </w:r>
          </w:p>
        </w:tc>
        <w:tc>
          <w:tcPr>
            <w:tcW w:type="dxa" w:w="28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Total Liabilities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$158.5</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$65.2</w:t>
            </w:r>
          </w:p>
        </w:tc>
      </w:tr>
      <w:tr>
        <w:tc>
          <w:tcPr>
            <w:tcW w:type="dxa" w:w="3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8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EQUITY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r>
      <w:tr>
        <w:tc>
          <w:tcPr>
            <w:tcW w:type="dxa" w:w="3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Total Shareholders' Equity</w:t>
            </w:r>
          </w:p>
        </w:tc>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$367.3 (est.)</w:t>
            </w:r>
          </w:p>
        </w:tc>
        <w:tc>
          <w:tcPr>
            <w:tcW w:type="dxa" w:w="28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$323.6</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Total Liabilities &amp; Equity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$525.8</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$388.8</w:t>
            </w:r>
          </w:p>
        </w:tc>
      </w:tr>
    </w:tbl>
    <w:p>
      <w:pPr>
        <w:spacing w:after="120"/>
      </w:pPr>
      <w:r>
        <w:rPr>
          <w:rFonts w:ascii="Arial" w:cs="Arial" w:eastAsia="Arial" w:hAnsi="Arial"/>
          <w:color w:val="333333"/>
          <w:sz w:val="22"/>
          <w:szCs w:val="22"/>
        </w:rPr>
        <w:t xml:space="preserve">Note: Items marked (est.) are estimated breakdowns based on available public data. Audited detailed breakdowns are available in the Sprott Inc. 2025 Annual Report filed on SEDAR+ and SEC EDGAR.</w:t>
      </w:r>
    </w:p>
    <w:p>
      <w:pPr>
        <w:pStyle w:val="Heading2"/>
        <w:spacing w:after="160" w:before="280"/>
      </w:pPr>
      <w:r>
        <w:rPr>
          <w:rFonts w:ascii="Arial" w:cs="Arial" w:eastAsia="Arial" w:hAnsi="Arial"/>
          <w:b/>
          <w:bCs/>
          <w:color w:val="3A8F85"/>
          <w:sz w:val="28"/>
          <w:szCs w:val="28"/>
        </w:rPr>
        <w:t xml:space="preserve">3.3 Key Financial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FY 2025</w:t>
            </w:r>
          </w:p>
        </w:tc>
        <w:tc>
          <w:tcPr>
            <w:tcW w:type="dxa" w:w="20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FY 2024</w:t>
            </w:r>
          </w:p>
        </w:tc>
        <w:tc>
          <w:tcPr>
            <w:tcW w:type="dxa" w:w="236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Industry Benchmark</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Revenue per AUM (bps)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44 bps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57 bps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25-50 bps</w:t>
            </w:r>
          </w:p>
        </w:tc>
      </w:tr>
      <w:tr>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Operating Margin</w:t>
            </w:r>
          </w:p>
        </w:tc>
        <w:tc>
          <w:tcPr>
            <w:tcW w:type="dxa" w:w="2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39%</w:t>
            </w:r>
          </w:p>
        </w:tc>
        <w:tc>
          <w:tcPr>
            <w:tcW w:type="dxa" w:w="2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48%</w:t>
            </w:r>
          </w:p>
        </w:tc>
        <w:tc>
          <w:tcPr>
            <w:tcW w:type="dxa" w:w="23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&gt;30%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Adjusted EBITDA Margin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59%</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&gt;35%</w:t>
            </w:r>
          </w:p>
        </w:tc>
      </w:tr>
      <w:tr>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Net Income Margin</w:t>
            </w:r>
          </w:p>
        </w:tc>
        <w:tc>
          <w:tcPr>
            <w:tcW w:type="dxa" w:w="2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24%</w:t>
            </w:r>
          </w:p>
        </w:tc>
        <w:tc>
          <w:tcPr>
            <w:tcW w:type="dxa" w:w="2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28%</w:t>
            </w:r>
          </w:p>
        </w:tc>
        <w:tc>
          <w:tcPr>
            <w:tcW w:type="dxa" w:w="23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&gt;20%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ROE (estimated)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~16%</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&gt;12%</w:t>
            </w:r>
          </w:p>
        </w:tc>
      </w:tr>
      <w:tr>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Cost-to-Income Ratio</w:t>
            </w:r>
          </w:p>
        </w:tc>
        <w:tc>
          <w:tcPr>
            <w:tcW w:type="dxa" w:w="2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61%</w:t>
            </w:r>
          </w:p>
        </w:tc>
        <w:tc>
          <w:tcPr>
            <w:tcW w:type="dxa" w:w="2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52%</w:t>
            </w:r>
          </w:p>
        </w:tc>
        <w:tc>
          <w:tcPr>
            <w:tcW w:type="dxa" w:w="23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&lt;55%</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Compensation as % of Net Revenue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38%</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35-45%</w:t>
            </w:r>
          </w:p>
        </w:tc>
      </w:tr>
      <w:tr>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AUM Growth (YoY)</w:t>
            </w:r>
          </w:p>
        </w:tc>
        <w:tc>
          <w:tcPr>
            <w:tcW w:type="dxa" w:w="2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89%</w:t>
            </w:r>
          </w:p>
        </w:tc>
        <w:tc>
          <w:tcPr>
            <w:tcW w:type="dxa" w:w="2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w:t>
            </w:r>
          </w:p>
        </w:tc>
        <w:tc>
          <w:tcPr>
            <w:tcW w:type="dxa" w:w="23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&gt;8%</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Net Flows (US$)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$3.9 billion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$698 million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Positive</w:t>
            </w:r>
          </w:p>
        </w:tc>
      </w:tr>
      <w:tr>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Dividend per Share (Quarterly)</w:t>
            </w:r>
          </w:p>
        </w:tc>
        <w:tc>
          <w:tcPr>
            <w:tcW w:type="dxa" w:w="2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$0.40</w:t>
            </w:r>
          </w:p>
        </w:tc>
        <w:tc>
          <w:tcPr>
            <w:tcW w:type="dxa" w:w="2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$0.30</w:t>
            </w:r>
          </w:p>
        </w:tc>
        <w:tc>
          <w:tcPr>
            <w:tcW w:type="dxa" w:w="23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N/A</w:t>
            </w:r>
          </w:p>
        </w:tc>
      </w:tr>
    </w:tbl>
    <w:p>
      <w:pPr>
        <w:pStyle w:val="Heading2"/>
        <w:spacing w:after="160" w:before="280"/>
      </w:pPr>
      <w:r>
        <w:rPr>
          <w:rFonts w:ascii="Arial" w:cs="Arial" w:eastAsia="Arial" w:hAnsi="Arial"/>
          <w:b/>
          <w:bCs/>
          <w:color w:val="3A8F85"/>
          <w:sz w:val="28"/>
          <w:szCs w:val="28"/>
        </w:rPr>
        <w:t xml:space="preserve">3.4 Revenue by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00"/>
        <w:gridCol w:w="3260"/>
      </w:tblGrid>
      <w:tr>
        <w:tc>
          <w:tcPr>
            <w:tcW w:type="dxa" w:w="22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Segment</w:t>
            </w:r>
          </w:p>
        </w:tc>
        <w:tc>
          <w:tcPr>
            <w:tcW w:type="dxa" w:w="24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FY 2025 Revenue (US$ M)</w:t>
            </w:r>
          </w:p>
        </w:tc>
        <w:tc>
          <w:tcPr>
            <w:tcW w:type="dxa" w:w="15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 of Total</w:t>
            </w:r>
          </w:p>
        </w:tc>
        <w:tc>
          <w:tcPr>
            <w:tcW w:type="dxa" w:w="326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Primary Revenue Drivers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Exchange Listed Products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~$195.0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68%</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Mgmt fees on $51.8B AUM</w:t>
            </w:r>
          </w:p>
        </w:tc>
      </w:tr>
      <w:tr>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Managed Equities</w:t>
            </w:r>
          </w:p>
        </w:tc>
        <w:tc>
          <w:tcPr>
            <w:tcW w:type="dxa" w:w="24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~$50.0</w:t>
            </w:r>
          </w:p>
        </w:tc>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18%</w:t>
            </w:r>
          </w:p>
        </w:tc>
        <w:tc>
          <w:tcPr>
            <w:tcW w:type="dxa" w:w="32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Mgmt fees + performance fees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Private Strategies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11%</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Mgmt fees + carried interest</w:t>
            </w:r>
          </w:p>
        </w:tc>
      </w:tr>
      <w:tr>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Corporate / Other</w:t>
            </w:r>
          </w:p>
        </w:tc>
        <w:tc>
          <w:tcPr>
            <w:tcW w:type="dxa" w:w="24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~$10.1</w:t>
            </w:r>
          </w:p>
        </w:tc>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w:t>
            </w:r>
          </w:p>
        </w:tc>
        <w:tc>
          <w:tcPr>
            <w:tcW w:type="dxa" w:w="32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Finance income, co-investments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Total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$285.1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r>
    </w:tbl>
    <w:p>
      <w:r>
        <w:br w:type="page"/>
      </w:r>
    </w:p>
    <w:p>
      <w:pPr>
        <w:pStyle w:val="Heading1"/>
        <w:spacing w:after="200" w:before="360"/>
      </w:pPr>
      <w:r>
        <w:rPr>
          <w:rFonts w:ascii="Arial" w:cs="Arial" w:eastAsia="Arial" w:hAnsi="Arial"/>
          <w:b/>
          <w:bCs/>
          <w:color w:val="2E6B62"/>
          <w:sz w:val="32"/>
          <w:szCs w:val="32"/>
        </w:rPr>
        <w:t xml:space="preserve">4. Legal Entity Structure</w:t>
      </w:r>
    </w:p>
    <w:p>
      <w:pPr>
        <w:pStyle w:val="Heading2"/>
        <w:spacing w:after="160" w:before="280"/>
      </w:pPr>
      <w:r>
        <w:rPr>
          <w:rFonts w:ascii="Arial" w:cs="Arial" w:eastAsia="Arial" w:hAnsi="Arial"/>
          <w:b/>
          <w:bCs/>
          <w:color w:val="3A8F85"/>
          <w:sz w:val="28"/>
          <w:szCs w:val="28"/>
        </w:rPr>
        <w:t xml:space="preserve">4.1 Corporate Hierarchy</w:t>
      </w:r>
    </w:p>
    <w:p>
      <w:pPr>
        <w:spacing w:after="120"/>
      </w:pPr>
      <w:r>
        <w:rPr>
          <w:rFonts w:ascii="Arial" w:cs="Arial" w:eastAsia="Arial" w:hAnsi="Arial"/>
          <w:color w:val="333333"/>
          <w:sz w:val="22"/>
          <w:szCs w:val="22"/>
        </w:rPr>
        <w:t xml:space="preserve">Sprott Inc. operates as a holding company with the following wholly-owned subsidiaries and associated entities. Each entity has distinct regulatory registrations, jurisdictional requirements, and accounting obligations that must be reflected in the Oracle ERP Cloud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2600"/>
        <w:gridCol w:w="2460"/>
      </w:tblGrid>
      <w:tr>
        <w:tc>
          <w:tcPr>
            <w:tcW w:type="dxa" w:w="26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Legal Entity</w:t>
            </w:r>
          </w:p>
        </w:tc>
        <w:tc>
          <w:tcPr>
            <w:tcW w:type="dxa" w:w="17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Jurisdiction</w:t>
            </w:r>
          </w:p>
        </w:tc>
        <w:tc>
          <w:tcPr>
            <w:tcW w:type="dxa" w:w="26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Regulator</w:t>
            </w:r>
          </w:p>
        </w:tc>
        <w:tc>
          <w:tcPr>
            <w:tcW w:type="dxa" w:w="246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Primary Function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Inc. (Parent)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Ontario, Canada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OSC / TSX / NYSE / SEC</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Holding company, corporate treasury</w:t>
            </w:r>
          </w:p>
        </w:tc>
      </w:tr>
      <w:tr>
        <w:tc>
          <w:tcPr>
            <w:tcW w:type="dxa" w:w="26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Asset Management LP</w:t>
            </w:r>
          </w:p>
        </w:tc>
        <w:tc>
          <w:tcPr>
            <w:tcW w:type="dxa" w:w="17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Ontario, Canada</w:t>
            </w:r>
          </w:p>
        </w:tc>
        <w:tc>
          <w:tcPr>
            <w:tcW w:type="dxa" w:w="26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OSC (Portfolio Mgr, IFM, EMD)</w:t>
            </w:r>
          </w:p>
        </w:tc>
        <w:tc>
          <w:tcPr>
            <w:tcW w:type="dxa" w:w="24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Fund management, portfolio management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Asset Management GP Inc.</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Ontario, Canada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OSC</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General partner of SAM LP</w:t>
            </w:r>
          </w:p>
        </w:tc>
      </w:tr>
      <w:tr>
        <w:tc>
          <w:tcPr>
            <w:tcW w:type="dxa" w:w="26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Resource Lending Corp.</w:t>
            </w:r>
          </w:p>
        </w:tc>
        <w:tc>
          <w:tcPr>
            <w:tcW w:type="dxa" w:w="17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Ontario, Canada</w:t>
            </w:r>
          </w:p>
        </w:tc>
        <w:tc>
          <w:tcPr>
            <w:tcW w:type="dxa" w:w="26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OSC</w:t>
            </w:r>
          </w:p>
        </w:tc>
        <w:tc>
          <w:tcPr>
            <w:tcW w:type="dxa" w:w="24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Mining finance / lending solutions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Resource Streaming &amp; Royalty Corp. (SRSR)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Ontario, Canada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OSC</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GP of streaming/royalty funds</w:t>
            </w:r>
          </w:p>
        </w:tc>
      </w:tr>
      <w:tr>
        <w:tc>
          <w:tcPr>
            <w:tcW w:type="dxa" w:w="26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U.S. Holdings Inc.</w:t>
            </w:r>
          </w:p>
        </w:tc>
        <w:tc>
          <w:tcPr>
            <w:tcW w:type="dxa" w:w="17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Delaware, USA</w:t>
            </w:r>
          </w:p>
        </w:tc>
        <w:tc>
          <w:tcPr>
            <w:tcW w:type="dxa" w:w="26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SEC</w:t>
            </w:r>
          </w:p>
        </w:tc>
        <w:tc>
          <w:tcPr>
            <w:tcW w:type="dxa" w:w="24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US holding company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Asset Management USA Inc.</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New York, USA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SEC (RIA)</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Wealth management, managed accounts</w:t>
            </w:r>
          </w:p>
        </w:tc>
      </w:tr>
      <w:tr>
        <w:tc>
          <w:tcPr>
            <w:tcW w:type="dxa" w:w="26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Global Resource Investments Ltd.</w:t>
            </w:r>
          </w:p>
        </w:tc>
        <w:tc>
          <w:tcPr>
            <w:tcW w:type="dxa" w:w="17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California, USA</w:t>
            </w:r>
          </w:p>
        </w:tc>
        <w:tc>
          <w:tcPr>
            <w:tcW w:type="dxa" w:w="26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FINRA (Broker/Dealer)</w:t>
            </w:r>
          </w:p>
        </w:tc>
        <w:tc>
          <w:tcPr>
            <w:tcW w:type="dxa" w:w="24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Brokerage, capital markets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Resource Capital Investment Corp.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California, USA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SEC (RIA)</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Partnership management</w:t>
            </w:r>
          </w:p>
        </w:tc>
      </w:tr>
    </w:tbl>
    <w:p>
      <w:pPr>
        <w:pStyle w:val="Heading2"/>
        <w:spacing w:after="160" w:before="280"/>
      </w:pPr>
      <w:r>
        <w:rPr>
          <w:rFonts w:ascii="Arial" w:cs="Arial" w:eastAsia="Arial" w:hAnsi="Arial"/>
          <w:b/>
          <w:bCs/>
          <w:color w:val="3A8F85"/>
          <w:sz w:val="28"/>
          <w:szCs w:val="28"/>
        </w:rPr>
        <w:t xml:space="preserve">4.2 Fund Entity Structure</w:t>
      </w:r>
    </w:p>
    <w:p>
      <w:pPr>
        <w:spacing w:after="120"/>
      </w:pPr>
      <w:r>
        <w:rPr>
          <w:rFonts w:ascii="Arial" w:cs="Arial" w:eastAsia="Arial" w:hAnsi="Arial"/>
          <w:color w:val="333333"/>
          <w:sz w:val="22"/>
          <w:szCs w:val="22"/>
        </w:rPr>
        <w:t xml:space="preserve">In addition to the operating entities above, Sprott manages numerous fund vehicles that require NAV accounting, management fee calculations, and regulatory reporting. These are not consolidated into Sprott Inc. financial statements but generate the management fee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000"/>
        <w:gridCol w:w="2560"/>
      </w:tblGrid>
      <w:tr>
        <w:tc>
          <w:tcPr>
            <w:tcW w:type="dxa" w:w="30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Fund Entity</w:t>
            </w:r>
          </w:p>
        </w:tc>
        <w:tc>
          <w:tcPr>
            <w:tcW w:type="dxa" w:w="18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Listing</w:t>
            </w:r>
          </w:p>
        </w:tc>
        <w:tc>
          <w:tcPr>
            <w:tcW w:type="dxa" w:w="256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Custodian / Trustee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Physical Gold Trust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Closed-End Trust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NYSE Arca / TSX</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Royal Canadian Mint</w:t>
            </w:r>
          </w:p>
        </w:tc>
      </w:tr>
      <w:tr>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Physical Silver Trust</w:t>
            </w:r>
          </w:p>
        </w:tc>
        <w:tc>
          <w:tcPr>
            <w:tcW w:type="dxa" w:w="18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Closed-End Trust</w:t>
            </w:r>
          </w:p>
        </w:tc>
        <w:tc>
          <w:tcPr>
            <w:tcW w:type="dxa" w:w="2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NYSE Arca / TSX</w:t>
            </w:r>
          </w:p>
        </w:tc>
        <w:tc>
          <w:tcPr>
            <w:tcW w:type="dxa" w:w="25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Royal Canadian Mint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Physical Platinum &amp; Palladium Trust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Closed-End Trust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NYSE Arca / TSX</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Royal Canadian Mint</w:t>
            </w:r>
          </w:p>
        </w:tc>
      </w:tr>
      <w:tr>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Physical Uranium Trust</w:t>
            </w:r>
          </w:p>
        </w:tc>
        <w:tc>
          <w:tcPr>
            <w:tcW w:type="dxa" w:w="18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Closed-End Trust</w:t>
            </w:r>
          </w:p>
        </w:tc>
        <w:tc>
          <w:tcPr>
            <w:tcW w:type="dxa" w:w="2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NYSE Arca / TSX</w:t>
            </w:r>
          </w:p>
        </w:tc>
        <w:tc>
          <w:tcPr>
            <w:tcW w:type="dxa" w:w="25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Cameco / Denison Mines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Physical Copper Trust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Closed-End Trust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NYSE Arca / TSX</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Third-party custodian</w:t>
            </w:r>
          </w:p>
        </w:tc>
      </w:tr>
      <w:tr>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ETFs (12 funds)</w:t>
            </w:r>
          </w:p>
        </w:tc>
        <w:tc>
          <w:tcPr>
            <w:tcW w:type="dxa" w:w="18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ETF</w:t>
            </w:r>
          </w:p>
        </w:tc>
        <w:tc>
          <w:tcPr>
            <w:tcW w:type="dxa" w:w="2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NYSE Arca</w:t>
            </w:r>
          </w:p>
        </w:tc>
        <w:tc>
          <w:tcPr>
            <w:tcW w:type="dxa" w:w="25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ALPS Fund Services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Gold Equity Fund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Open-End Fund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TSX</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SAM LP</w:t>
            </w:r>
          </w:p>
        </w:tc>
      </w:tr>
      <w:tr>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Focus Trust</w:t>
            </w:r>
          </w:p>
        </w:tc>
        <w:tc>
          <w:tcPr>
            <w:tcW w:type="dxa" w:w="18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Closed-End Trust</w:t>
            </w:r>
          </w:p>
        </w:tc>
        <w:tc>
          <w:tcPr>
            <w:tcW w:type="dxa" w:w="2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Nasdaq</w:t>
            </w:r>
          </w:p>
        </w:tc>
        <w:tc>
          <w:tcPr>
            <w:tcW w:type="dxa" w:w="25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SAM USA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Private Resource Streaming Fund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Limited Partnership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Private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SRSR (GP)</w:t>
            </w:r>
          </w:p>
        </w:tc>
      </w:tr>
      <w:tr>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Natural Resource Investment Partners</w:t>
            </w:r>
          </w:p>
        </w:tc>
        <w:tc>
          <w:tcPr>
            <w:tcW w:type="dxa" w:w="18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Limited Partnership</w:t>
            </w:r>
          </w:p>
        </w:tc>
        <w:tc>
          <w:tcPr>
            <w:tcW w:type="dxa" w:w="2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Private</w:t>
            </w:r>
          </w:p>
        </w:tc>
        <w:tc>
          <w:tcPr>
            <w:tcW w:type="dxa" w:w="25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SAM LP</w:t>
            </w:r>
          </w:p>
        </w:tc>
      </w:tr>
    </w:tbl>
    <w:p>
      <w:pPr>
        <w:pStyle w:val="Heading2"/>
        <w:spacing w:after="160" w:before="280"/>
      </w:pPr>
      <w:r>
        <w:rPr>
          <w:rFonts w:ascii="Arial" w:cs="Arial" w:eastAsia="Arial" w:hAnsi="Arial"/>
          <w:b/>
          <w:bCs/>
          <w:color w:val="3A8F85"/>
          <w:sz w:val="28"/>
          <w:szCs w:val="28"/>
        </w:rPr>
        <w:t xml:space="preserve">4.3 Intercompany Relationships</w:t>
      </w:r>
    </w:p>
    <w:p>
      <w:pPr>
        <w:spacing w:after="120"/>
      </w:pPr>
      <w:r>
        <w:rPr>
          <w:rFonts w:ascii="Arial" w:cs="Arial" w:eastAsia="Arial" w:hAnsi="Arial"/>
          <w:color w:val="333333"/>
          <w:sz w:val="22"/>
          <w:szCs w:val="22"/>
        </w:rPr>
        <w:t xml:space="preserve">The Oracle ERP Cloud design must accommodate the following intercompany transaction flows:</w:t>
      </w:r>
    </w:p>
    <w:p>
      <w:pPr>
        <w:pStyle w:val="ListParagraph"/>
        <w:numPr>
          <w:ilvl w:val="0"/>
          <w:numId w:val="2"/>
        </w:numPr>
        <w:spacing w:after="60"/>
      </w:pPr>
      <w:r>
        <w:rPr>
          <w:rFonts w:ascii="Arial" w:cs="Arial" w:eastAsia="Arial" w:hAnsi="Arial"/>
          <w:color w:val="333333"/>
          <w:sz w:val="22"/>
          <w:szCs w:val="22"/>
        </w:rPr>
        <w:t xml:space="preserve">Management fee revenue flows from Fund entities to SAM LP and SAM USA</w:t>
      </w:r>
    </w:p>
    <w:p>
      <w:pPr>
        <w:pStyle w:val="ListParagraph"/>
        <w:numPr>
          <w:ilvl w:val="0"/>
          <w:numId w:val="2"/>
        </w:numPr>
        <w:spacing w:after="60"/>
      </w:pPr>
      <w:r>
        <w:rPr>
          <w:rFonts w:ascii="Arial" w:cs="Arial" w:eastAsia="Arial" w:hAnsi="Arial"/>
          <w:color w:val="333333"/>
          <w:sz w:val="22"/>
          <w:szCs w:val="22"/>
        </w:rPr>
        <w:t xml:space="preserve">Shared services cost allocations from Corporate to all operating subsidiaries</w:t>
      </w:r>
    </w:p>
    <w:p>
      <w:pPr>
        <w:pStyle w:val="ListParagraph"/>
        <w:numPr>
          <w:ilvl w:val="0"/>
          <w:numId w:val="2"/>
        </w:numPr>
        <w:spacing w:after="60"/>
      </w:pPr>
      <w:r>
        <w:rPr>
          <w:rFonts w:ascii="Arial" w:cs="Arial" w:eastAsia="Arial" w:hAnsi="Arial"/>
          <w:color w:val="333333"/>
          <w:sz w:val="22"/>
          <w:szCs w:val="22"/>
        </w:rPr>
        <w:t xml:space="preserve">Transfer pricing arrangements between Canadian and US entities</w:t>
      </w:r>
    </w:p>
    <w:p>
      <w:pPr>
        <w:pStyle w:val="ListParagraph"/>
        <w:numPr>
          <w:ilvl w:val="0"/>
          <w:numId w:val="2"/>
        </w:numPr>
        <w:spacing w:after="60"/>
      </w:pPr>
      <w:r>
        <w:rPr>
          <w:rFonts w:ascii="Arial" w:cs="Arial" w:eastAsia="Arial" w:hAnsi="Arial"/>
          <w:color w:val="333333"/>
          <w:sz w:val="22"/>
          <w:szCs w:val="22"/>
        </w:rPr>
        <w:t xml:space="preserve">Co-investment capital flows between Sprott Inc. balance sheet and fund vehicles</w:t>
      </w:r>
    </w:p>
    <w:p>
      <w:pPr>
        <w:pStyle w:val="ListParagraph"/>
        <w:numPr>
          <w:ilvl w:val="0"/>
          <w:numId w:val="2"/>
        </w:numPr>
        <w:spacing w:after="60"/>
      </w:pPr>
      <w:r>
        <w:rPr>
          <w:rFonts w:ascii="Arial" w:cs="Arial" w:eastAsia="Arial" w:hAnsi="Arial"/>
          <w:color w:val="333333"/>
          <w:sz w:val="22"/>
          <w:szCs w:val="22"/>
        </w:rPr>
        <w:t xml:space="preserve">Carried interest and performance fee waterfall calculations from Private Strategies funds to GP entities</w:t>
      </w:r>
    </w:p>
    <w:p>
      <w:pPr>
        <w:pStyle w:val="ListParagraph"/>
        <w:numPr>
          <w:ilvl w:val="0"/>
          <w:numId w:val="2"/>
        </w:numPr>
        <w:spacing w:after="60"/>
      </w:pPr>
      <w:r>
        <w:rPr>
          <w:rFonts w:ascii="Arial" w:cs="Arial" w:eastAsia="Arial" w:hAnsi="Arial"/>
          <w:color w:val="333333"/>
          <w:sz w:val="22"/>
          <w:szCs w:val="22"/>
        </w:rPr>
        <w:t xml:space="preserve">Intercompany loans and capital injections from holding company to subsidiaries</w:t>
      </w:r>
    </w:p>
    <w:p>
      <w:pPr>
        <w:pStyle w:val="ListParagraph"/>
        <w:numPr>
          <w:ilvl w:val="0"/>
          <w:numId w:val="2"/>
        </w:numPr>
        <w:spacing w:after="60"/>
      </w:pPr>
      <w:r>
        <w:rPr>
          <w:rFonts w:ascii="Arial" w:cs="Arial" w:eastAsia="Arial" w:hAnsi="Arial"/>
          <w:color w:val="333333"/>
          <w:sz w:val="22"/>
          <w:szCs w:val="22"/>
        </w:rPr>
        <w:t xml:space="preserve">Cross-border dividend and profit repatriation flows (Canada-US)</w:t>
      </w:r>
    </w:p>
    <w:p>
      <w:r>
        <w:br w:type="page"/>
      </w:r>
    </w:p>
    <w:p>
      <w:pPr>
        <w:pStyle w:val="Heading1"/>
        <w:spacing w:after="200" w:before="360"/>
      </w:pPr>
      <w:r>
        <w:rPr>
          <w:rFonts w:ascii="Arial" w:cs="Arial" w:eastAsia="Arial" w:hAnsi="Arial"/>
          <w:b/>
          <w:bCs/>
          <w:color w:val="2E6B62"/>
          <w:sz w:val="32"/>
          <w:szCs w:val="32"/>
        </w:rPr>
        <w:t xml:space="preserve">5. Regulatory and Compliance Requirements</w:t>
      </w:r>
    </w:p>
    <w:p>
      <w:pPr>
        <w:pStyle w:val="Heading2"/>
        <w:spacing w:after="160" w:before="280"/>
      </w:pPr>
      <w:r>
        <w:rPr>
          <w:rFonts w:ascii="Arial" w:cs="Arial" w:eastAsia="Arial" w:hAnsi="Arial"/>
          <w:b/>
          <w:bCs/>
          <w:color w:val="3A8F85"/>
          <w:sz w:val="28"/>
          <w:szCs w:val="28"/>
        </w:rPr>
        <w:t xml:space="preserve">5.1 Multi-Jurisdictional Regulatory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500"/>
        <w:gridCol w:w="3160"/>
      </w:tblGrid>
      <w:tr>
        <w:tc>
          <w:tcPr>
            <w:tcW w:type="dxa" w:w="22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Regulator</w:t>
            </w:r>
          </w:p>
        </w:tc>
        <w:tc>
          <w:tcPr>
            <w:tcW w:type="dxa" w:w="15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Jurisdiction</w:t>
            </w:r>
          </w:p>
        </w:tc>
        <w:tc>
          <w:tcPr>
            <w:tcW w:type="dxa" w:w="25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Applicable Entity</w:t>
            </w:r>
          </w:p>
        </w:tc>
        <w:tc>
          <w:tcPr>
            <w:tcW w:type="dxa" w:w="316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Requirements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Ontario Securities Commission (OSC)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Ontario, Canada</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SAM LP, SAM GP</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Portfolio manager, IFM, EMD registration; NI 31-103 compliance</w:t>
            </w:r>
          </w:p>
        </w:tc>
      </w:tr>
      <w:tr>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Canadian Investment Regulatory Organization (CIRO)</w:t>
            </w:r>
          </w:p>
        </w:tc>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Canada</w:t>
            </w:r>
          </w:p>
        </w:tc>
        <w:tc>
          <w:tcPr>
            <w:tcW w:type="dxa" w:w="2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Formerly SCP LP</w:t>
            </w:r>
          </w:p>
        </w:tc>
        <w:tc>
          <w:tcPr>
            <w:tcW w:type="dxa" w:w="31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Dealer member rules (post IIROC/MFDA merger)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U.S. Securities &amp; Exchange Commission (SEC)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USA</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SAM USA, RCIC, Sprott US Holdings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Investment Advisers Act 1940; Form ADV; Custody Rule</w:t>
            </w:r>
          </w:p>
        </w:tc>
      </w:tr>
      <w:tr>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FINRA</w:t>
            </w:r>
          </w:p>
        </w:tc>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USA</w:t>
            </w:r>
          </w:p>
        </w:tc>
        <w:tc>
          <w:tcPr>
            <w:tcW w:type="dxa" w:w="2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Global Resource Investments</w:t>
            </w:r>
          </w:p>
        </w:tc>
        <w:tc>
          <w:tcPr>
            <w:tcW w:type="dxa" w:w="31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Broker/Dealer regulation; FINRA Rules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NYSE / TSX</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USA / Canada</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Inc.</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Continuous disclosure; corporate governance</w:t>
            </w:r>
          </w:p>
        </w:tc>
      </w:tr>
      <w:tr>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CRA (Canada Revenue Agency)</w:t>
            </w:r>
          </w:p>
        </w:tc>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Canada</w:t>
            </w:r>
          </w:p>
        </w:tc>
        <w:tc>
          <w:tcPr>
            <w:tcW w:type="dxa" w:w="2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All Canadian entities</w:t>
            </w:r>
          </w:p>
        </w:tc>
        <w:tc>
          <w:tcPr>
            <w:tcW w:type="dxa" w:w="31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Part I tax, Part VI tax (financial institutions)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IRS (Internal Revenue Service)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USA</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All US entities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Federal/state income tax; FATCA; withholding</w:t>
            </w:r>
          </w:p>
        </w:tc>
      </w:tr>
    </w:tbl>
    <w:p>
      <w:pPr>
        <w:pStyle w:val="Heading2"/>
        <w:spacing w:after="160" w:before="280"/>
      </w:pPr>
      <w:r>
        <w:rPr>
          <w:rFonts w:ascii="Arial" w:cs="Arial" w:eastAsia="Arial" w:hAnsi="Arial"/>
          <w:b/>
          <w:bCs/>
          <w:color w:val="3A8F85"/>
          <w:sz w:val="28"/>
          <w:szCs w:val="28"/>
        </w:rPr>
        <w:t xml:space="preserve">5.2 IFRS Reporting Requirements</w:t>
      </w:r>
    </w:p>
    <w:p>
      <w:pPr>
        <w:spacing w:after="120"/>
      </w:pPr>
      <w:r>
        <w:rPr>
          <w:rFonts w:ascii="Arial" w:cs="Arial" w:eastAsia="Arial" w:hAnsi="Arial"/>
          <w:color w:val="333333"/>
          <w:sz w:val="22"/>
          <w:szCs w:val="22"/>
        </w:rPr>
        <w:t xml:space="preserve">Sprott Inc. reports under International Financial Reporting Standards (IFRS) as issued by the International Accounting Standards Board (IASB). Key standards applicable to Oracle ERP Cloud configuration:</w:t>
      </w:r>
    </w:p>
    <w:p>
      <w:pPr>
        <w:pStyle w:val="ListParagraph"/>
        <w:numPr>
          <w:ilvl w:val="0"/>
          <w:numId w:val="2"/>
        </w:numPr>
        <w:spacing w:after="60"/>
      </w:pPr>
      <w:r>
        <w:rPr>
          <w:rFonts w:ascii="Arial" w:cs="Arial" w:eastAsia="Arial" w:hAnsi="Arial"/>
          <w:color w:val="333333"/>
          <w:sz w:val="22"/>
          <w:szCs w:val="22"/>
        </w:rPr>
        <w:t xml:space="preserve">IFRS 2 (Share-Based Payment): Cash-settled stock compensation plan requiring mark-to-market accounting. Sprott transitioned to this model in 2025, resulting in significant volatility in stock-based compensation expense.</w:t>
      </w:r>
    </w:p>
    <w:p>
      <w:pPr>
        <w:pStyle w:val="ListParagraph"/>
        <w:numPr>
          <w:ilvl w:val="0"/>
          <w:numId w:val="2"/>
        </w:numPr>
        <w:spacing w:after="60"/>
      </w:pPr>
      <w:r>
        <w:rPr>
          <w:rFonts w:ascii="Arial" w:cs="Arial" w:eastAsia="Arial" w:hAnsi="Arial"/>
          <w:color w:val="333333"/>
          <w:sz w:val="22"/>
          <w:szCs w:val="22"/>
        </w:rPr>
        <w:t xml:space="preserve">IFRS 9 (Financial Instruments): Classification, measurement, and impairment of financial assets including co-investments in funds, short-term investments, and loans receivable.</w:t>
      </w:r>
    </w:p>
    <w:p>
      <w:pPr>
        <w:pStyle w:val="ListParagraph"/>
        <w:numPr>
          <w:ilvl w:val="0"/>
          <w:numId w:val="2"/>
        </w:numPr>
        <w:spacing w:after="60"/>
      </w:pPr>
      <w:r>
        <w:rPr>
          <w:rFonts w:ascii="Arial" w:cs="Arial" w:eastAsia="Arial" w:hAnsi="Arial"/>
          <w:color w:val="333333"/>
          <w:sz w:val="22"/>
          <w:szCs w:val="22"/>
        </w:rPr>
        <w:t xml:space="preserve">IFRS 10 (Consolidated Financial Statements): Consolidation of all wholly-owned subsidiaries; assessment of control over fund entities.</w:t>
      </w:r>
    </w:p>
    <w:p>
      <w:pPr>
        <w:pStyle w:val="ListParagraph"/>
        <w:numPr>
          <w:ilvl w:val="0"/>
          <w:numId w:val="2"/>
        </w:numPr>
        <w:spacing w:after="60"/>
      </w:pPr>
      <w:r>
        <w:rPr>
          <w:rFonts w:ascii="Arial" w:cs="Arial" w:eastAsia="Arial" w:hAnsi="Arial"/>
          <w:color w:val="333333"/>
          <w:sz w:val="22"/>
          <w:szCs w:val="22"/>
        </w:rPr>
        <w:t xml:space="preserve">IFRS 15 (Revenue from Contracts with Customers): Management fee recognition, performance fee/carried interest recognition criteria.</w:t>
      </w:r>
    </w:p>
    <w:p>
      <w:pPr>
        <w:pStyle w:val="ListParagraph"/>
        <w:numPr>
          <w:ilvl w:val="0"/>
          <w:numId w:val="2"/>
        </w:numPr>
        <w:spacing w:after="60"/>
      </w:pPr>
      <w:r>
        <w:rPr>
          <w:rFonts w:ascii="Arial" w:cs="Arial" w:eastAsia="Arial" w:hAnsi="Arial"/>
          <w:color w:val="333333"/>
          <w:sz w:val="22"/>
          <w:szCs w:val="22"/>
        </w:rPr>
        <w:t xml:space="preserve">IFRS 16 (Leases): Right-of-use asset and lease liability for office leases in Toronto, New York, Connecticut, and California.</w:t>
      </w:r>
    </w:p>
    <w:p>
      <w:pPr>
        <w:pStyle w:val="ListParagraph"/>
        <w:numPr>
          <w:ilvl w:val="0"/>
          <w:numId w:val="2"/>
        </w:numPr>
        <w:spacing w:after="60"/>
      </w:pPr>
      <w:r>
        <w:rPr>
          <w:rFonts w:ascii="Arial" w:cs="Arial" w:eastAsia="Arial" w:hAnsi="Arial"/>
          <w:color w:val="333333"/>
          <w:sz w:val="22"/>
          <w:szCs w:val="22"/>
        </w:rPr>
        <w:t xml:space="preserve">IAS 12 (Income Taxes): Deferred tax asset/liability calculations across Canadian and US jurisdictions.</w:t>
      </w:r>
    </w:p>
    <w:p>
      <w:pPr>
        <w:pStyle w:val="ListParagraph"/>
        <w:numPr>
          <w:ilvl w:val="0"/>
          <w:numId w:val="2"/>
        </w:numPr>
        <w:spacing w:after="60"/>
      </w:pPr>
      <w:r>
        <w:rPr>
          <w:rFonts w:ascii="Arial" w:cs="Arial" w:eastAsia="Arial" w:hAnsi="Arial"/>
          <w:color w:val="333333"/>
          <w:sz w:val="22"/>
          <w:szCs w:val="22"/>
        </w:rPr>
        <w:t xml:space="preserve">IAS 21 (Foreign Currency): Functional currency USD; translation of CAD-denominated transactions.</w:t>
      </w:r>
    </w:p>
    <w:p>
      <w:pPr>
        <w:pStyle w:val="Heading2"/>
        <w:spacing w:after="160" w:before="280"/>
      </w:pPr>
      <w:r>
        <w:rPr>
          <w:rFonts w:ascii="Arial" w:cs="Arial" w:eastAsia="Arial" w:hAnsi="Arial"/>
          <w:b/>
          <w:bCs/>
          <w:color w:val="3A8F85"/>
          <w:sz w:val="28"/>
          <w:szCs w:val="28"/>
        </w:rPr>
        <w:t xml:space="preserve">5.3 Tax Compliance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360"/>
      </w:tblGrid>
      <w:tr>
        <w:tc>
          <w:tcPr>
            <w:tcW w:type="dxa" w:w="28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Tax Obligation</w:t>
            </w:r>
          </w:p>
        </w:tc>
        <w:tc>
          <w:tcPr>
            <w:tcW w:type="dxa" w:w="20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Jurisdiction</w:t>
            </w:r>
          </w:p>
        </w:tc>
        <w:tc>
          <w:tcPr>
            <w:tcW w:type="dxa" w:w="22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Frequency</w:t>
            </w:r>
          </w:p>
        </w:tc>
        <w:tc>
          <w:tcPr>
            <w:tcW w:type="dxa" w:w="236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Oracle ERP Module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Canadian Corporate Income Tax (Part 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Canada (Federal + Provincial)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Annual (+ quarterly installments)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Tax Reporting</w:t>
            </w:r>
          </w:p>
        </w:tc>
      </w:tr>
      <w:tr>
        <w:tc>
          <w:tcPr>
            <w:tcW w:type="dxa" w:w="28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Part VI Tax (Financial Institutions)</w:t>
            </w:r>
          </w:p>
        </w:tc>
        <w:tc>
          <w:tcPr>
            <w:tcW w:type="dxa" w:w="2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Canada (Federal)</w:t>
            </w:r>
          </w:p>
        </w:tc>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Annual</w:t>
            </w:r>
          </w:p>
        </w:tc>
        <w:tc>
          <w:tcPr>
            <w:tcW w:type="dxa" w:w="23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Tax Reporting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HST/GST Returns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Canada (Federal + Provincial)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Monthly / Quarterly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Tax Engine (Vertex/Avalara)</w:t>
            </w:r>
          </w:p>
        </w:tc>
      </w:tr>
      <w:tr>
        <w:tc>
          <w:tcPr>
            <w:tcW w:type="dxa" w:w="28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US Federal Income Tax</w:t>
            </w:r>
          </w:p>
        </w:tc>
        <w:tc>
          <w:tcPr>
            <w:tcW w:type="dxa" w:w="2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USA (Federal)</w:t>
            </w:r>
          </w:p>
        </w:tc>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Annual (+ quarterly estimated)</w:t>
            </w:r>
          </w:p>
        </w:tc>
        <w:tc>
          <w:tcPr>
            <w:tcW w:type="dxa" w:w="23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Tax Reporting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US State Income Tax</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NY, CT, CA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Annual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Tax Reporting</w:t>
            </w:r>
          </w:p>
        </w:tc>
      </w:tr>
      <w:tr>
        <w:tc>
          <w:tcPr>
            <w:tcW w:type="dxa" w:w="28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Withholding Tax (Cross-Border)</w:t>
            </w:r>
          </w:p>
        </w:tc>
        <w:tc>
          <w:tcPr>
            <w:tcW w:type="dxa" w:w="2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Canada / USA</w:t>
            </w:r>
          </w:p>
        </w:tc>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Per transaction</w:t>
            </w:r>
          </w:p>
        </w:tc>
        <w:tc>
          <w:tcPr>
            <w:tcW w:type="dxa" w:w="23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AP / AR Withholding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Transfer Pricing Documentation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Canada / USA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Annual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Intercompany Module</w:t>
            </w:r>
          </w:p>
        </w:tc>
      </w:tr>
      <w:tr>
        <w:tc>
          <w:tcPr>
            <w:tcW w:type="dxa" w:w="28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FATCA / CRS Reporting</w:t>
            </w:r>
          </w:p>
        </w:tc>
        <w:tc>
          <w:tcPr>
            <w:tcW w:type="dxa" w:w="2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Global</w:t>
            </w:r>
          </w:p>
        </w:tc>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Annual</w:t>
            </w:r>
          </w:p>
        </w:tc>
        <w:tc>
          <w:tcPr>
            <w:tcW w:type="dxa" w:w="23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Regulatory Reporting</w:t>
            </w:r>
          </w:p>
        </w:tc>
      </w:tr>
    </w:tbl>
    <w:p>
      <w:r>
        <w:br w:type="page"/>
      </w:r>
    </w:p>
    <w:p>
      <w:pPr>
        <w:pStyle w:val="Heading1"/>
        <w:spacing w:after="200" w:before="360"/>
      </w:pPr>
      <w:r>
        <w:rPr>
          <w:rFonts w:ascii="Arial" w:cs="Arial" w:eastAsia="Arial" w:hAnsi="Arial"/>
          <w:b/>
          <w:bCs/>
          <w:color w:val="2E6B62"/>
          <w:sz w:val="32"/>
          <w:szCs w:val="32"/>
        </w:rPr>
        <w:t xml:space="preserve">6. Oracle ERP Cloud Implementation Scope</w:t>
      </w:r>
    </w:p>
    <w:p>
      <w:pPr>
        <w:pStyle w:val="Heading2"/>
        <w:spacing w:after="160" w:before="280"/>
      </w:pPr>
      <w:r>
        <w:rPr>
          <w:rFonts w:ascii="Arial" w:cs="Arial" w:eastAsia="Arial" w:hAnsi="Arial"/>
          <w:b/>
          <w:bCs/>
          <w:color w:val="3A8F85"/>
          <w:sz w:val="28"/>
          <w:szCs w:val="28"/>
        </w:rPr>
        <w:t xml:space="preserve">6.1 Implementation Strategy</w:t>
      </w:r>
    </w:p>
    <w:p>
      <w:pPr>
        <w:spacing w:after="120"/>
      </w:pPr>
      <w:r>
        <w:rPr>
          <w:rFonts w:ascii="Arial" w:cs="Arial" w:eastAsia="Arial" w:hAnsi="Arial"/>
          <w:color w:val="333333"/>
          <w:sz w:val="22"/>
          <w:szCs w:val="22"/>
        </w:rPr>
        <w:t xml:space="preserve">The recommended implementation approach is a phased deployment using Oracle Fusion Cloud ERP, leveraging Oracle's asset management industry best practices and the Sprott-specific configurations documented herein.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500"/>
        <w:gridCol w:w="2060"/>
      </w:tblGrid>
      <w:tr>
        <w:tc>
          <w:tcPr>
            <w:tcW w:type="dxa" w:w="28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Scope</w:t>
            </w:r>
          </w:p>
        </w:tc>
        <w:tc>
          <w:tcPr>
            <w:tcW w:type="dxa" w:w="15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Timeline</w:t>
            </w:r>
          </w:p>
        </w:tc>
        <w:tc>
          <w:tcPr>
            <w:tcW w:type="dxa" w:w="206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Go-Live Target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Phase 1: Core Finance Foundation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GL, AP, AR, FA, Cash Mgmt, Intercompany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 months</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Q1 2027</w:t>
            </w:r>
          </w:p>
        </w:tc>
      </w:tr>
      <w:tr>
        <w:tc>
          <w:tcPr>
            <w:tcW w:type="dxa" w:w="28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Phase 2: Advanced Finance</w:t>
            </w:r>
          </w:p>
        </w:tc>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Tax Reporting, Revenue Recognition, Expense Mgmt</w:t>
            </w:r>
          </w:p>
        </w:tc>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 months</w:t>
            </w:r>
          </w:p>
        </w:tc>
        <w:tc>
          <w:tcPr>
            <w:tcW w:type="dxa" w:w="20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Q3 2027</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Phase 3: Management Reporting &amp; Analytics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OTBI, Financial Reporting Studio, Smart View</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 months</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Q4 2027</w:t>
            </w:r>
          </w:p>
        </w:tc>
      </w:tr>
      <w:tr>
        <w:tc>
          <w:tcPr>
            <w:tcW w:type="dxa" w:w="28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Phase 4: Fund Fee Automation</w:t>
            </w:r>
          </w:p>
        </w:tc>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Custom fee calculation engine, fund accounting interface</w:t>
            </w:r>
          </w:p>
        </w:tc>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 months</w:t>
            </w:r>
          </w:p>
        </w:tc>
        <w:tc>
          <w:tcPr>
            <w:tcW w:type="dxa" w:w="20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Q1 2028</w:t>
            </w:r>
          </w:p>
        </w:tc>
      </w:tr>
    </w:tbl>
    <w:p>
      <w:pPr>
        <w:pStyle w:val="Heading2"/>
        <w:spacing w:after="160" w:before="280"/>
      </w:pPr>
      <w:r>
        <w:rPr>
          <w:rFonts w:ascii="Arial" w:cs="Arial" w:eastAsia="Arial" w:hAnsi="Arial"/>
          <w:b/>
          <w:bCs/>
          <w:color w:val="3A8F85"/>
          <w:sz w:val="28"/>
          <w:szCs w:val="28"/>
        </w:rPr>
        <w:t xml:space="preserve">6.2 Oracle Cloud Modules In-Scope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Oracle Module</w:t>
            </w:r>
          </w:p>
        </w:tc>
        <w:tc>
          <w:tcPr>
            <w:tcW w:type="dxa" w:w="15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Scope Area</w:t>
            </w:r>
          </w:p>
        </w:tc>
        <w:tc>
          <w:tcPr>
            <w:tcW w:type="dxa" w:w="486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Sprott Use Case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Oracle General Ledger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Core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Multi-entity GL with segment-based COA; IFRS consolidation</w:t>
            </w:r>
          </w:p>
        </w:tc>
      </w:tr>
      <w:tr>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Oracle Subledger Accounting (SLA)</w:t>
            </w:r>
          </w:p>
        </w:tc>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Core</w:t>
            </w:r>
          </w:p>
        </w:tc>
        <w:tc>
          <w:tcPr>
            <w:tcW w:type="dxa" w:w="48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Configurable accounting rules for fund fee revenue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Oracle Accounts Payable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Core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Vendor management, invoice processing, 3-way matching</w:t>
            </w:r>
          </w:p>
        </w:tc>
      </w:tr>
      <w:tr>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Oracle Accounts Receivable</w:t>
            </w:r>
          </w:p>
        </w:tc>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Core</w:t>
            </w:r>
          </w:p>
        </w:tc>
        <w:tc>
          <w:tcPr>
            <w:tcW w:type="dxa" w:w="48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Management fee invoicing, client billing, collections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Oracle Fixed Assets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Core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Office assets, IT equipment, leasehold improvements</w:t>
            </w:r>
          </w:p>
        </w:tc>
      </w:tr>
      <w:tr>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Oracle Cash Management</w:t>
            </w:r>
          </w:p>
        </w:tc>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Core</w:t>
            </w:r>
          </w:p>
        </w:tc>
        <w:tc>
          <w:tcPr>
            <w:tcW w:type="dxa" w:w="48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Bank reconciliation, cash positioning, liquidity management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Oracle Intercompany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Core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Automated IC transactions, eliminations, transfer pricing</w:t>
            </w:r>
          </w:p>
        </w:tc>
      </w:tr>
      <w:tr>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Oracle Tax</w:t>
            </w:r>
          </w:p>
        </w:tc>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Advanced</w:t>
            </w:r>
          </w:p>
        </w:tc>
        <w:tc>
          <w:tcPr>
            <w:tcW w:type="dxa" w:w="48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Multi-jurisdiction tax calculation, withholding tax</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Oracle Revenue Management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Advanced</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IFRS 15 management fee and performance fee recognition</w:t>
            </w:r>
          </w:p>
        </w:tc>
      </w:tr>
      <w:tr>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Oracle Expenses</w:t>
            </w:r>
          </w:p>
        </w:tc>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Advanced</w:t>
            </w:r>
          </w:p>
        </w:tc>
        <w:tc>
          <w:tcPr>
            <w:tcW w:type="dxa" w:w="48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Employee expense management, policy enforcement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Oracle Financial Reporting (FRS)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Analytics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Board packs, statutory reports, management reports</w:t>
            </w:r>
          </w:p>
        </w:tc>
      </w:tr>
      <w:tr>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Oracle Transactional BI (OTBI)</w:t>
            </w:r>
          </w:p>
        </w:tc>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Analytics</w:t>
            </w:r>
          </w:p>
        </w:tc>
        <w:tc>
          <w:tcPr>
            <w:tcW w:type="dxa" w:w="48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Operational dashboards, KPI monitoring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Oracle Enterprise Performance Management (EPM)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Analytics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Budgeting, forecasting, scenario planning</w:t>
            </w:r>
          </w:p>
        </w:tc>
      </w:tr>
    </w:tbl>
    <w:p>
      <w:pPr>
        <w:pStyle w:val="Heading2"/>
        <w:spacing w:after="160" w:before="280"/>
      </w:pPr>
      <w:r>
        <w:rPr>
          <w:rFonts w:ascii="Arial" w:cs="Arial" w:eastAsia="Arial" w:hAnsi="Arial"/>
          <w:b/>
          <w:bCs/>
          <w:color w:val="3A8F85"/>
          <w:sz w:val="28"/>
          <w:szCs w:val="28"/>
        </w:rPr>
        <w:t xml:space="preserve">6.3 Chart of Accounts Design</w:t>
      </w:r>
    </w:p>
    <w:p>
      <w:pPr>
        <w:spacing w:after="120"/>
      </w:pPr>
      <w:r>
        <w:rPr>
          <w:rFonts w:ascii="Arial" w:cs="Arial" w:eastAsia="Arial" w:hAnsi="Arial"/>
          <w:color w:val="333333"/>
          <w:sz w:val="22"/>
          <w:szCs w:val="22"/>
        </w:rPr>
        <w:t xml:space="preserve">The Oracle ERP Cloud Chart of Accounts (COA) is designed as a segment-based structure to support Sprott's multi-entity, multi-fund, multi-jurisdictional reporting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900"/>
        <w:gridCol w:w="2400"/>
        <w:gridCol w:w="3160"/>
      </w:tblGrid>
      <w:tr>
        <w:tc>
          <w:tcPr>
            <w:tcW w:type="dxa" w:w="11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Segment</w:t>
            </w:r>
          </w:p>
        </w:tc>
        <w:tc>
          <w:tcPr>
            <w:tcW w:type="dxa" w:w="18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Segment Name</w:t>
            </w:r>
          </w:p>
        </w:tc>
        <w:tc>
          <w:tcPr>
            <w:tcW w:type="dxa" w:w="9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Length</w:t>
            </w:r>
          </w:p>
        </w:tc>
        <w:tc>
          <w:tcPr>
            <w:tcW w:type="dxa" w:w="24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Purpose</w:t>
            </w:r>
          </w:p>
        </w:tc>
        <w:tc>
          <w:tcPr>
            <w:tcW w:type="dxa" w:w="316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Example Values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Segment 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Company (Legal Entity)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 digits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Identifies legal entity for consolidation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1000=Sprott Inc, 2000=SAM LP, 3000=Sprott US Holdings</w:t>
            </w:r>
          </w:p>
        </w:tc>
      </w:tr>
      <w:tr>
        <w:tc>
          <w:tcPr>
            <w:tcW w:type="dxa" w:w="11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Segment 2</w:t>
            </w:r>
          </w:p>
        </w:tc>
        <w:tc>
          <w:tcPr>
            <w:tcW w:type="dxa" w:w="18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Business Unit</w:t>
            </w:r>
          </w:p>
        </w:tc>
        <w:tc>
          <w:tcPr>
            <w:tcW w:type="dxa" w:w="9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 digits</w:t>
            </w:r>
          </w:p>
        </w:tc>
        <w:tc>
          <w:tcPr>
            <w:tcW w:type="dxa" w:w="24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Business segment reporting</w:t>
            </w:r>
          </w:p>
        </w:tc>
        <w:tc>
          <w:tcPr>
            <w:tcW w:type="dxa" w:w="31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100=ELP, 200=Managed Equities, 300=Private Strategies, 400=Corporate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Segment 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Natural Account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 digits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GL account (IFRS-aligned)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100000=Cash, 200000=Receivables, 400000=Revenue, 500000=Expenses</w:t>
            </w:r>
          </w:p>
        </w:tc>
      </w:tr>
      <w:tr>
        <w:tc>
          <w:tcPr>
            <w:tcW w:type="dxa" w:w="11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Segment 4</w:t>
            </w:r>
          </w:p>
        </w:tc>
        <w:tc>
          <w:tcPr>
            <w:tcW w:type="dxa" w:w="18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Cost Centre</w:t>
            </w:r>
          </w:p>
        </w:tc>
        <w:tc>
          <w:tcPr>
            <w:tcW w:type="dxa" w:w="9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 digits</w:t>
            </w:r>
          </w:p>
        </w:tc>
        <w:tc>
          <w:tcPr>
            <w:tcW w:type="dxa" w:w="24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Department / function</w:t>
            </w:r>
          </w:p>
        </w:tc>
        <w:tc>
          <w:tcPr>
            <w:tcW w:type="dxa" w:w="31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1010=Finance, 1020=Legal, 1030=Compliance, 1040=IT, 1050=Operations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Segment 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Fund / Product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 digits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Fund-level tracking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F001=PHYS, F002=PSLV, F003=Uranium Trust, F010=URNM ETF</w:t>
            </w:r>
          </w:p>
        </w:tc>
      </w:tr>
      <w:tr>
        <w:tc>
          <w:tcPr>
            <w:tcW w:type="dxa" w:w="11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Segment 6</w:t>
            </w:r>
          </w:p>
        </w:tc>
        <w:tc>
          <w:tcPr>
            <w:tcW w:type="dxa" w:w="18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Geography</w:t>
            </w:r>
          </w:p>
        </w:tc>
        <w:tc>
          <w:tcPr>
            <w:tcW w:type="dxa" w:w="9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 digits</w:t>
            </w:r>
          </w:p>
        </w:tc>
        <w:tc>
          <w:tcPr>
            <w:tcW w:type="dxa" w:w="24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Country / region</w:t>
            </w:r>
          </w:p>
        </w:tc>
        <w:tc>
          <w:tcPr>
            <w:tcW w:type="dxa" w:w="31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CA=Canada, US=United States, GB=United Kingdom</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Segment 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Intercompany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 digits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IC partner entity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Mirrors Segment 1 values for elimination</w:t>
            </w:r>
          </w:p>
        </w:tc>
      </w:tr>
      <w:tr>
        <w:tc>
          <w:tcPr>
            <w:tcW w:type="dxa" w:w="11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Segment 8</w:t>
            </w:r>
          </w:p>
        </w:tc>
        <w:tc>
          <w:tcPr>
            <w:tcW w:type="dxa" w:w="18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Future / Reserve</w:t>
            </w:r>
          </w:p>
        </w:tc>
        <w:tc>
          <w:tcPr>
            <w:tcW w:type="dxa" w:w="9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 digits</w:t>
            </w:r>
          </w:p>
        </w:tc>
        <w:tc>
          <w:tcPr>
            <w:tcW w:type="dxa" w:w="24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Expansion capacity</w:t>
            </w:r>
          </w:p>
        </w:tc>
        <w:tc>
          <w:tcPr>
            <w:tcW w:type="dxa" w:w="31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000=Default (reserved for future use)</w:t>
            </w:r>
          </w:p>
        </w:tc>
      </w:tr>
    </w:tbl>
    <w:p>
      <w:pPr>
        <w:pStyle w:val="Heading2"/>
        <w:spacing w:after="160" w:before="280"/>
      </w:pPr>
      <w:r>
        <w:rPr>
          <w:rFonts w:ascii="Arial" w:cs="Arial" w:eastAsia="Arial" w:hAnsi="Arial"/>
          <w:b/>
          <w:bCs/>
          <w:color w:val="3A8F85"/>
          <w:sz w:val="28"/>
          <w:szCs w:val="28"/>
        </w:rPr>
        <w:t xml:space="preserve">6.4 Ledger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2000"/>
        <w:gridCol w:w="2760"/>
      </w:tblGrid>
      <w:tr>
        <w:tc>
          <w:tcPr>
            <w:tcW w:type="dxa" w:w="22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Ledger</w:t>
            </w:r>
          </w:p>
        </w:tc>
        <w:tc>
          <w:tcPr>
            <w:tcW w:type="dxa" w:w="12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Currency</w:t>
            </w:r>
          </w:p>
        </w:tc>
        <w:tc>
          <w:tcPr>
            <w:tcW w:type="dxa" w:w="20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Accounting Standard</w:t>
            </w:r>
          </w:p>
        </w:tc>
        <w:tc>
          <w:tcPr>
            <w:tcW w:type="dxa" w:w="276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Primary Ledger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Primary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USD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IFRS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Group consolidation, statutory reporting</w:t>
            </w:r>
          </w:p>
        </w:tc>
      </w:tr>
      <w:tr>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Canada Statutory</w:t>
            </w:r>
          </w:p>
        </w:tc>
        <w:tc>
          <w:tcPr>
            <w:tcW w:type="dxa" w:w="1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Secondary</w:t>
            </w:r>
          </w:p>
        </w:tc>
        <w:tc>
          <w:tcPr>
            <w:tcW w:type="dxa" w:w="1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CAD</w:t>
            </w:r>
          </w:p>
        </w:tc>
        <w:tc>
          <w:tcPr>
            <w:tcW w:type="dxa" w:w="2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IFRS (Canada)</w:t>
            </w:r>
          </w:p>
        </w:tc>
        <w:tc>
          <w:tcPr>
            <w:tcW w:type="dxa" w:w="27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Canadian statutory filings, CRA reporting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US GAAP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Secondary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USD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US GAAP</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SEC reporting for US-registered entities</w:t>
            </w:r>
          </w:p>
        </w:tc>
      </w:tr>
      <w:tr>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Management Reporting</w:t>
            </w:r>
          </w:p>
        </w:tc>
        <w:tc>
          <w:tcPr>
            <w:tcW w:type="dxa" w:w="1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Reporting</w:t>
            </w:r>
          </w:p>
        </w:tc>
        <w:tc>
          <w:tcPr>
            <w:tcW w:type="dxa" w:w="1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USD</w:t>
            </w:r>
          </w:p>
        </w:tc>
        <w:tc>
          <w:tcPr>
            <w:tcW w:type="dxa" w:w="2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Management</w:t>
            </w:r>
          </w:p>
        </w:tc>
        <w:tc>
          <w:tcPr>
            <w:tcW w:type="dxa" w:w="27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Internal P&amp;L by segment, fund, geography</w:t>
            </w:r>
          </w:p>
        </w:tc>
      </w:tr>
    </w:tbl>
    <w:p>
      <w:pPr>
        <w:pStyle w:val="Heading2"/>
        <w:spacing w:after="160" w:before="280"/>
      </w:pPr>
      <w:r>
        <w:rPr>
          <w:rFonts w:ascii="Arial" w:cs="Arial" w:eastAsia="Arial" w:hAnsi="Arial"/>
          <w:b/>
          <w:bCs/>
          <w:color w:val="3A8F85"/>
          <w:sz w:val="28"/>
          <w:szCs w:val="28"/>
        </w:rPr>
        <w:t xml:space="preserve">6.5 Key Business Process Scope</w:t>
      </w:r>
    </w:p>
    <w:p>
      <w:pPr>
        <w:pStyle w:val="Heading3"/>
        <w:spacing w:after="120" w:before="200"/>
      </w:pPr>
      <w:r>
        <w:rPr>
          <w:rFonts w:ascii="Arial" w:cs="Arial" w:eastAsia="Arial" w:hAnsi="Arial"/>
          <w:b/>
          <w:bCs/>
          <w:color w:val="2C3E50"/>
          <w:sz w:val="24"/>
          <w:szCs w:val="24"/>
        </w:rPr>
        <w:t xml:space="preserve">6.5.1 Record-to-Report (R2R)</w:t>
      </w:r>
    </w:p>
    <w:p>
      <w:pPr>
        <w:pStyle w:val="ListParagraph"/>
        <w:numPr>
          <w:ilvl w:val="0"/>
          <w:numId w:val="2"/>
        </w:numPr>
        <w:spacing w:after="60"/>
      </w:pPr>
      <w:r>
        <w:rPr>
          <w:rFonts w:ascii="Arial" w:cs="Arial" w:eastAsia="Arial" w:hAnsi="Arial"/>
          <w:color w:val="333333"/>
          <w:sz w:val="22"/>
          <w:szCs w:val="22"/>
        </w:rPr>
        <w:t xml:space="preserve">Daily: Automated journal entries for fund fee accruals based on NAV feeds</w:t>
      </w:r>
    </w:p>
    <w:p>
      <w:pPr>
        <w:pStyle w:val="ListParagraph"/>
        <w:numPr>
          <w:ilvl w:val="0"/>
          <w:numId w:val="2"/>
        </w:numPr>
        <w:spacing w:after="60"/>
      </w:pPr>
      <w:r>
        <w:rPr>
          <w:rFonts w:ascii="Arial" w:cs="Arial" w:eastAsia="Arial" w:hAnsi="Arial"/>
          <w:color w:val="333333"/>
          <w:sz w:val="22"/>
          <w:szCs w:val="22"/>
        </w:rPr>
        <w:t xml:space="preserve">Monthly: Period-end close with 5-day target; automated IC eliminations</w:t>
      </w:r>
    </w:p>
    <w:p>
      <w:pPr>
        <w:pStyle w:val="ListParagraph"/>
        <w:numPr>
          <w:ilvl w:val="0"/>
          <w:numId w:val="2"/>
        </w:numPr>
        <w:spacing w:after="60"/>
      </w:pPr>
      <w:r>
        <w:rPr>
          <w:rFonts w:ascii="Arial" w:cs="Arial" w:eastAsia="Arial" w:hAnsi="Arial"/>
          <w:color w:val="333333"/>
          <w:sz w:val="22"/>
          <w:szCs w:val="22"/>
        </w:rPr>
        <w:t xml:space="preserve">Quarterly: IFRS consolidation, board reporting, regulatory filings</w:t>
      </w:r>
    </w:p>
    <w:p>
      <w:pPr>
        <w:pStyle w:val="ListParagraph"/>
        <w:numPr>
          <w:ilvl w:val="0"/>
          <w:numId w:val="2"/>
        </w:numPr>
        <w:spacing w:after="60"/>
      </w:pPr>
      <w:r>
        <w:rPr>
          <w:rFonts w:ascii="Arial" w:cs="Arial" w:eastAsia="Arial" w:hAnsi="Arial"/>
          <w:color w:val="333333"/>
          <w:sz w:val="22"/>
          <w:szCs w:val="22"/>
        </w:rPr>
        <w:t xml:space="preserve">Annual: Year-end audit preparation, statutory filings (SEDAR+, SEC EDGAR)</w:t>
      </w:r>
    </w:p>
    <w:p>
      <w:pPr>
        <w:pStyle w:val="Heading3"/>
        <w:spacing w:after="120" w:before="200"/>
      </w:pPr>
      <w:r>
        <w:rPr>
          <w:rFonts w:ascii="Arial" w:cs="Arial" w:eastAsia="Arial" w:hAnsi="Arial"/>
          <w:b/>
          <w:bCs/>
          <w:color w:val="2C3E50"/>
          <w:sz w:val="24"/>
          <w:szCs w:val="24"/>
        </w:rPr>
        <w:t xml:space="preserve">6.5.2 Procure-to-Pay (P2P)</w:t>
      </w:r>
    </w:p>
    <w:p>
      <w:pPr>
        <w:pStyle w:val="ListParagraph"/>
        <w:numPr>
          <w:ilvl w:val="0"/>
          <w:numId w:val="2"/>
        </w:numPr>
        <w:spacing w:after="60"/>
      </w:pPr>
      <w:r>
        <w:rPr>
          <w:rFonts w:ascii="Arial" w:cs="Arial" w:eastAsia="Arial" w:hAnsi="Arial"/>
          <w:color w:val="333333"/>
          <w:sz w:val="22"/>
          <w:szCs w:val="22"/>
        </w:rPr>
        <w:t xml:space="preserve">Vendor onboarding with KYC/AML screening integration</w:t>
      </w:r>
    </w:p>
    <w:p>
      <w:pPr>
        <w:pStyle w:val="ListParagraph"/>
        <w:numPr>
          <w:ilvl w:val="0"/>
          <w:numId w:val="2"/>
        </w:numPr>
        <w:spacing w:after="60"/>
      </w:pPr>
      <w:r>
        <w:rPr>
          <w:rFonts w:ascii="Arial" w:cs="Arial" w:eastAsia="Arial" w:hAnsi="Arial"/>
          <w:color w:val="333333"/>
          <w:sz w:val="22"/>
          <w:szCs w:val="22"/>
        </w:rPr>
        <w:t xml:space="preserve">Purchase requisition and approval workflows</w:t>
      </w:r>
    </w:p>
    <w:p>
      <w:pPr>
        <w:pStyle w:val="ListParagraph"/>
        <w:numPr>
          <w:ilvl w:val="0"/>
          <w:numId w:val="2"/>
        </w:numPr>
        <w:spacing w:after="60"/>
      </w:pPr>
      <w:r>
        <w:rPr>
          <w:rFonts w:ascii="Arial" w:cs="Arial" w:eastAsia="Arial" w:hAnsi="Arial"/>
          <w:color w:val="333333"/>
          <w:sz w:val="22"/>
          <w:szCs w:val="22"/>
        </w:rPr>
        <w:t xml:space="preserve">3-way matching for operational expenses</w:t>
      </w:r>
    </w:p>
    <w:p>
      <w:pPr>
        <w:pStyle w:val="ListParagraph"/>
        <w:numPr>
          <w:ilvl w:val="0"/>
          <w:numId w:val="2"/>
        </w:numPr>
        <w:spacing w:after="60"/>
      </w:pPr>
      <w:r>
        <w:rPr>
          <w:rFonts w:ascii="Arial" w:cs="Arial" w:eastAsia="Arial" w:hAnsi="Arial"/>
          <w:color w:val="333333"/>
          <w:sz w:val="22"/>
          <w:szCs w:val="22"/>
        </w:rPr>
        <w:t xml:space="preserve">Automated payment runs (EFT, wire, cross-border)</w:t>
      </w:r>
    </w:p>
    <w:p>
      <w:pPr>
        <w:pStyle w:val="ListParagraph"/>
        <w:numPr>
          <w:ilvl w:val="0"/>
          <w:numId w:val="2"/>
        </w:numPr>
        <w:spacing w:after="60"/>
      </w:pPr>
      <w:r>
        <w:rPr>
          <w:rFonts w:ascii="Arial" w:cs="Arial" w:eastAsia="Arial" w:hAnsi="Arial"/>
          <w:color w:val="333333"/>
          <w:sz w:val="22"/>
          <w:szCs w:val="22"/>
        </w:rPr>
        <w:t xml:space="preserve">HST/GST and US sales tax compliance</w:t>
      </w:r>
    </w:p>
    <w:p>
      <w:pPr>
        <w:pStyle w:val="Heading3"/>
        <w:spacing w:after="120" w:before="200"/>
      </w:pPr>
      <w:r>
        <w:rPr>
          <w:rFonts w:ascii="Arial" w:cs="Arial" w:eastAsia="Arial" w:hAnsi="Arial"/>
          <w:b/>
          <w:bCs/>
          <w:color w:val="2C3E50"/>
          <w:sz w:val="24"/>
          <w:szCs w:val="24"/>
        </w:rPr>
        <w:t xml:space="preserve">6.5.3 Management Fee Revenue (Order-to-Cash)</w:t>
      </w:r>
    </w:p>
    <w:p>
      <w:pPr>
        <w:pStyle w:val="ListParagraph"/>
        <w:numPr>
          <w:ilvl w:val="0"/>
          <w:numId w:val="2"/>
        </w:numPr>
        <w:spacing w:after="60"/>
      </w:pPr>
      <w:r>
        <w:rPr>
          <w:rFonts w:ascii="Arial" w:cs="Arial" w:eastAsia="Arial" w:hAnsi="Arial"/>
          <w:color w:val="333333"/>
          <w:sz w:val="22"/>
          <w:szCs w:val="22"/>
        </w:rPr>
        <w:t xml:space="preserve">Automated NAV feed from fund administrators (daily/monthly)</w:t>
      </w:r>
    </w:p>
    <w:p>
      <w:pPr>
        <w:pStyle w:val="ListParagraph"/>
        <w:numPr>
          <w:ilvl w:val="0"/>
          <w:numId w:val="2"/>
        </w:numPr>
        <w:spacing w:after="60"/>
      </w:pPr>
      <w:r>
        <w:rPr>
          <w:rFonts w:ascii="Arial" w:cs="Arial" w:eastAsia="Arial" w:hAnsi="Arial"/>
          <w:color w:val="333333"/>
          <w:sz w:val="22"/>
          <w:szCs w:val="22"/>
        </w:rPr>
        <w:t xml:space="preserve">Management fee calculation engine (% of AUM per prospectus)</w:t>
      </w:r>
    </w:p>
    <w:p>
      <w:pPr>
        <w:pStyle w:val="ListParagraph"/>
        <w:numPr>
          <w:ilvl w:val="0"/>
          <w:numId w:val="2"/>
        </w:numPr>
        <w:spacing w:after="60"/>
      </w:pPr>
      <w:r>
        <w:rPr>
          <w:rFonts w:ascii="Arial" w:cs="Arial" w:eastAsia="Arial" w:hAnsi="Arial"/>
          <w:color w:val="333333"/>
          <w:sz w:val="22"/>
          <w:szCs w:val="22"/>
        </w:rPr>
        <w:t xml:space="preserve">Performance fee and carried interest waterfall calculations</w:t>
      </w:r>
    </w:p>
    <w:p>
      <w:pPr>
        <w:pStyle w:val="ListParagraph"/>
        <w:numPr>
          <w:ilvl w:val="0"/>
          <w:numId w:val="2"/>
        </w:numPr>
        <w:spacing w:after="60"/>
      </w:pPr>
      <w:r>
        <w:rPr>
          <w:rFonts w:ascii="Arial" w:cs="Arial" w:eastAsia="Arial" w:hAnsi="Arial"/>
          <w:color w:val="333333"/>
          <w:sz w:val="22"/>
          <w:szCs w:val="22"/>
        </w:rPr>
        <w:t xml:space="preserve">Invoice generation and client billing</w:t>
      </w:r>
    </w:p>
    <w:p>
      <w:pPr>
        <w:pStyle w:val="ListParagraph"/>
        <w:numPr>
          <w:ilvl w:val="0"/>
          <w:numId w:val="2"/>
        </w:numPr>
        <w:spacing w:after="60"/>
      </w:pPr>
      <w:r>
        <w:rPr>
          <w:rFonts w:ascii="Arial" w:cs="Arial" w:eastAsia="Arial" w:hAnsi="Arial"/>
          <w:color w:val="333333"/>
          <w:sz w:val="22"/>
          <w:szCs w:val="22"/>
        </w:rPr>
        <w:t xml:space="preserve">Revenue recognition per IFRS 15 (point-in-time vs. over-time)</w:t>
      </w:r>
    </w:p>
    <w:p>
      <w:pPr>
        <w:pStyle w:val="Heading3"/>
        <w:spacing w:after="120" w:before="200"/>
      </w:pPr>
      <w:r>
        <w:rPr>
          <w:rFonts w:ascii="Arial" w:cs="Arial" w:eastAsia="Arial" w:hAnsi="Arial"/>
          <w:b/>
          <w:bCs/>
          <w:color w:val="2C3E50"/>
          <w:sz w:val="24"/>
          <w:szCs w:val="24"/>
        </w:rPr>
        <w:t xml:space="preserve">6.5.4 Intercompany Processing</w:t>
      </w:r>
    </w:p>
    <w:p>
      <w:pPr>
        <w:pStyle w:val="ListParagraph"/>
        <w:numPr>
          <w:ilvl w:val="0"/>
          <w:numId w:val="2"/>
        </w:numPr>
        <w:spacing w:after="60"/>
      </w:pPr>
      <w:r>
        <w:rPr>
          <w:rFonts w:ascii="Arial" w:cs="Arial" w:eastAsia="Arial" w:hAnsi="Arial"/>
          <w:color w:val="333333"/>
          <w:sz w:val="22"/>
          <w:szCs w:val="22"/>
        </w:rPr>
        <w:t xml:space="preserve">Automated intercompany invoicing for shared services</w:t>
      </w:r>
    </w:p>
    <w:p>
      <w:pPr>
        <w:pStyle w:val="ListParagraph"/>
        <w:numPr>
          <w:ilvl w:val="0"/>
          <w:numId w:val="2"/>
        </w:numPr>
        <w:spacing w:after="60"/>
      </w:pPr>
      <w:r>
        <w:rPr>
          <w:rFonts w:ascii="Arial" w:cs="Arial" w:eastAsia="Arial" w:hAnsi="Arial"/>
          <w:color w:val="333333"/>
          <w:sz w:val="22"/>
          <w:szCs w:val="22"/>
        </w:rPr>
        <w:t xml:space="preserve">Transfer pricing documentation and arm's-length validation</w:t>
      </w:r>
    </w:p>
    <w:p>
      <w:pPr>
        <w:pStyle w:val="ListParagraph"/>
        <w:numPr>
          <w:ilvl w:val="0"/>
          <w:numId w:val="2"/>
        </w:numPr>
        <w:spacing w:after="60"/>
      </w:pPr>
      <w:r>
        <w:rPr>
          <w:rFonts w:ascii="Arial" w:cs="Arial" w:eastAsia="Arial" w:hAnsi="Arial"/>
          <w:color w:val="333333"/>
          <w:sz w:val="22"/>
          <w:szCs w:val="22"/>
        </w:rPr>
        <w:t xml:space="preserve">Real-time intercompany elimination for consolidation</w:t>
      </w:r>
    </w:p>
    <w:p>
      <w:pPr>
        <w:pStyle w:val="ListParagraph"/>
        <w:numPr>
          <w:ilvl w:val="0"/>
          <w:numId w:val="2"/>
        </w:numPr>
        <w:spacing w:after="60"/>
      </w:pPr>
      <w:r>
        <w:rPr>
          <w:rFonts w:ascii="Arial" w:cs="Arial" w:eastAsia="Arial" w:hAnsi="Arial"/>
          <w:color w:val="333333"/>
          <w:sz w:val="22"/>
          <w:szCs w:val="22"/>
        </w:rPr>
        <w:t xml:space="preserve">Cross-border withholding tax on intercompany dividends</w:t>
      </w:r>
    </w:p>
    <w:p>
      <w:pPr>
        <w:pStyle w:val="Heading3"/>
        <w:spacing w:after="120" w:before="200"/>
      </w:pPr>
      <w:r>
        <w:rPr>
          <w:rFonts w:ascii="Arial" w:cs="Arial" w:eastAsia="Arial" w:hAnsi="Arial"/>
          <w:b/>
          <w:bCs/>
          <w:color w:val="2C3E50"/>
          <w:sz w:val="24"/>
          <w:szCs w:val="24"/>
        </w:rPr>
        <w:t xml:space="preserve">6.5.5 Cash and Treasury Management</w:t>
      </w:r>
    </w:p>
    <w:p>
      <w:pPr>
        <w:pStyle w:val="ListParagraph"/>
        <w:numPr>
          <w:ilvl w:val="0"/>
          <w:numId w:val="2"/>
        </w:numPr>
        <w:spacing w:after="60"/>
      </w:pPr>
      <w:r>
        <w:rPr>
          <w:rFonts w:ascii="Arial" w:cs="Arial" w:eastAsia="Arial" w:hAnsi="Arial"/>
          <w:color w:val="333333"/>
          <w:sz w:val="22"/>
          <w:szCs w:val="22"/>
        </w:rPr>
        <w:t xml:space="preserve">Multi-currency cash positioning (USD, CAD primarily)</w:t>
      </w:r>
    </w:p>
    <w:p>
      <w:pPr>
        <w:pStyle w:val="ListParagraph"/>
        <w:numPr>
          <w:ilvl w:val="0"/>
          <w:numId w:val="2"/>
        </w:numPr>
        <w:spacing w:after="60"/>
      </w:pPr>
      <w:r>
        <w:rPr>
          <w:rFonts w:ascii="Arial" w:cs="Arial" w:eastAsia="Arial" w:hAnsi="Arial"/>
          <w:color w:val="333333"/>
          <w:sz w:val="22"/>
          <w:szCs w:val="22"/>
        </w:rPr>
        <w:t xml:space="preserve">Automated bank reconciliation via bank statement feeds</w:t>
      </w:r>
    </w:p>
    <w:p>
      <w:pPr>
        <w:pStyle w:val="ListParagraph"/>
        <w:numPr>
          <w:ilvl w:val="0"/>
          <w:numId w:val="2"/>
        </w:numPr>
        <w:spacing w:after="60"/>
      </w:pPr>
      <w:r>
        <w:rPr>
          <w:rFonts w:ascii="Arial" w:cs="Arial" w:eastAsia="Arial" w:hAnsi="Arial"/>
          <w:color w:val="333333"/>
          <w:sz w:val="22"/>
          <w:szCs w:val="22"/>
        </w:rPr>
        <w:t xml:space="preserve">Cash flow forecasting integrated with EPM</w:t>
      </w:r>
    </w:p>
    <w:p>
      <w:pPr>
        <w:pStyle w:val="ListParagraph"/>
        <w:numPr>
          <w:ilvl w:val="0"/>
          <w:numId w:val="2"/>
        </w:numPr>
        <w:spacing w:after="60"/>
      </w:pPr>
      <w:r>
        <w:rPr>
          <w:rFonts w:ascii="Arial" w:cs="Arial" w:eastAsia="Arial" w:hAnsi="Arial"/>
          <w:color w:val="333333"/>
          <w:sz w:val="22"/>
          <w:szCs w:val="22"/>
        </w:rPr>
        <w:t xml:space="preserve">Investment portfolio tracking for co-investments</w:t>
      </w:r>
    </w:p>
    <w:p>
      <w:r>
        <w:br w:type="page"/>
      </w:r>
    </w:p>
    <w:p>
      <w:pPr>
        <w:pStyle w:val="Heading1"/>
        <w:spacing w:after="200" w:before="360"/>
      </w:pPr>
      <w:r>
        <w:rPr>
          <w:rFonts w:ascii="Arial" w:cs="Arial" w:eastAsia="Arial" w:hAnsi="Arial"/>
          <w:b/>
          <w:bCs/>
          <w:color w:val="2E6B62"/>
          <w:sz w:val="32"/>
          <w:szCs w:val="32"/>
        </w:rPr>
        <w:t xml:space="preserve">7. Integration Architecture</w:t>
      </w:r>
    </w:p>
    <w:p>
      <w:pPr>
        <w:pStyle w:val="Heading2"/>
        <w:spacing w:after="160" w:before="280"/>
      </w:pPr>
      <w:r>
        <w:rPr>
          <w:rFonts w:ascii="Arial" w:cs="Arial" w:eastAsia="Arial" w:hAnsi="Arial"/>
          <w:b/>
          <w:bCs/>
          <w:color w:val="3A8F85"/>
          <w:sz w:val="28"/>
          <w:szCs w:val="28"/>
        </w:rPr>
        <w:t xml:space="preserve">7.1 Source System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2000"/>
        <w:gridCol w:w="2460"/>
      </w:tblGrid>
      <w:tr>
        <w:tc>
          <w:tcPr>
            <w:tcW w:type="dxa" w:w="22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 System</w:t>
            </w:r>
          </w:p>
        </w:tc>
        <w:tc>
          <w:tcPr>
            <w:tcW w:type="dxa" w:w="15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Integration Type</w:t>
            </w:r>
          </w:p>
        </w:tc>
        <w:tc>
          <w:tcPr>
            <w:tcW w:type="dxa" w:w="12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Frequency</w:t>
            </w:r>
          </w:p>
        </w:tc>
        <w:tc>
          <w:tcPr>
            <w:tcW w:type="dxa" w:w="20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Data Flow</w:t>
            </w:r>
          </w:p>
        </w:tc>
        <w:tc>
          <w:tcPr>
            <w:tcW w:type="dxa" w:w="246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Oracle Target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Fund Administrator (NAV)</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Inbound API / SFTP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Daily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NAV, AUM, unit prices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GL Journals / Custom Tables</w:t>
            </w:r>
          </w:p>
        </w:tc>
      </w:tr>
      <w:tr>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Custodian Banks (RCM, etc.)</w:t>
            </w:r>
          </w:p>
        </w:tc>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Inbound SFTP</w:t>
            </w:r>
          </w:p>
        </w:tc>
        <w:tc>
          <w:tcPr>
            <w:tcW w:type="dxa" w:w="1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Daily</w:t>
            </w:r>
          </w:p>
        </w:tc>
        <w:tc>
          <w:tcPr>
            <w:tcW w:type="dxa" w:w="2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Holdings, custody statements</w:t>
            </w:r>
          </w:p>
        </w:tc>
        <w:tc>
          <w:tcPr>
            <w:tcW w:type="dxa" w:w="24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Cash Management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Banking (TD, RBC, etc.)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Inbound BAI2/MT940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Daily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Bank statements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Cash Management (Bank Rec)</w:t>
            </w:r>
          </w:p>
        </w:tc>
      </w:tr>
      <w:tr>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Payroll (ADP/Ceridian)</w:t>
            </w:r>
          </w:p>
        </w:tc>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Inbound API</w:t>
            </w:r>
          </w:p>
        </w:tc>
        <w:tc>
          <w:tcPr>
            <w:tcW w:type="dxa" w:w="1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Bi-weekly</w:t>
            </w:r>
          </w:p>
        </w:tc>
        <w:tc>
          <w:tcPr>
            <w:tcW w:type="dxa" w:w="2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Payroll journal entries</w:t>
            </w:r>
          </w:p>
        </w:tc>
        <w:tc>
          <w:tcPr>
            <w:tcW w:type="dxa" w:w="24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GL Journals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Expense System (Concur)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Bi-directional API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Real-time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Expense reports, approvals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AP / Expenses</w:t>
            </w:r>
          </w:p>
        </w:tc>
      </w:tr>
      <w:tr>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Tax Engine (Vertex/Avalara)</w:t>
            </w:r>
          </w:p>
        </w:tc>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Bi-directional API</w:t>
            </w:r>
          </w:p>
        </w:tc>
        <w:tc>
          <w:tcPr>
            <w:tcW w:type="dxa" w:w="1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Per transaction</w:t>
            </w:r>
          </w:p>
        </w:tc>
        <w:tc>
          <w:tcPr>
            <w:tcW w:type="dxa" w:w="2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Tax calculation, returns</w:t>
            </w:r>
          </w:p>
        </w:tc>
        <w:tc>
          <w:tcPr>
            <w:tcW w:type="dxa" w:w="24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Tax Module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Regulatory Filing (SEDAR+/EDGAR)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Outbound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Quarterly/Annual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Financial statements, disclosures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Financial Reporting</w:t>
            </w:r>
          </w:p>
        </w:tc>
      </w:tr>
      <w:tr>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HRIS (Workday/BambooHR)</w:t>
            </w:r>
          </w:p>
        </w:tc>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Inbound API</w:t>
            </w:r>
          </w:p>
        </w:tc>
        <w:tc>
          <w:tcPr>
            <w:tcW w:type="dxa" w:w="1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Weekly</w:t>
            </w:r>
          </w:p>
        </w:tc>
        <w:tc>
          <w:tcPr>
            <w:tcW w:type="dxa" w:w="2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Employee data, org hierarchy</w:t>
            </w:r>
          </w:p>
        </w:tc>
        <w:tc>
          <w:tcPr>
            <w:tcW w:type="dxa" w:w="24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Shared Reference 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CRM (Salesforce)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Bi-directional API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Real-time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Client data, AUM updates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AR / Custom</w:t>
            </w:r>
          </w:p>
        </w:tc>
      </w:tr>
    </w:tbl>
    <w:p>
      <w:pPr>
        <w:pStyle w:val="Heading2"/>
        <w:spacing w:after="160" w:before="280"/>
      </w:pPr>
      <w:r>
        <w:rPr>
          <w:rFonts w:ascii="Arial" w:cs="Arial" w:eastAsia="Arial" w:hAnsi="Arial"/>
          <w:b/>
          <w:bCs/>
          <w:color w:val="3A8F85"/>
          <w:sz w:val="28"/>
          <w:szCs w:val="28"/>
        </w:rPr>
        <w:t xml:space="preserve">7.2 Integration Middleware</w:t>
      </w:r>
    </w:p>
    <w:p>
      <w:pPr>
        <w:spacing w:after="120"/>
      </w:pPr>
      <w:r>
        <w:rPr>
          <w:rFonts w:ascii="Arial" w:cs="Arial" w:eastAsia="Arial" w:hAnsi="Arial"/>
          <w:color w:val="333333"/>
          <w:sz w:val="22"/>
          <w:szCs w:val="22"/>
        </w:rPr>
        <w:t xml:space="preserve">Oracle Integration Cloud (OIC) is recommended as the primary integration platform, providing pre-built adapters for Oracle ERP Cloud, Salesforce, banking systems, and SFTP-based file integrations. For high-volume NAV feeds and real-time AUM updates, an event-driven architecture using Oracle Streaming or AWS EventBridge may be considered.</w:t>
      </w:r>
    </w:p>
    <w:p>
      <w:r>
        <w:br w:type="page"/>
      </w:r>
    </w:p>
    <w:p>
      <w:pPr>
        <w:pStyle w:val="Heading1"/>
        <w:spacing w:after="200" w:before="360"/>
      </w:pPr>
      <w:r>
        <w:rPr>
          <w:rFonts w:ascii="Arial" w:cs="Arial" w:eastAsia="Arial" w:hAnsi="Arial"/>
          <w:b/>
          <w:bCs/>
          <w:color w:val="2E6B62"/>
          <w:sz w:val="32"/>
          <w:szCs w:val="32"/>
        </w:rPr>
        <w:t xml:space="preserve">8. Data Migration Strategy</w:t>
      </w:r>
    </w:p>
    <w:p>
      <w:pPr>
        <w:pStyle w:val="Heading2"/>
        <w:spacing w:after="160" w:before="280"/>
      </w:pPr>
      <w:r>
        <w:rPr>
          <w:rFonts w:ascii="Arial" w:cs="Arial" w:eastAsia="Arial" w:hAnsi="Arial"/>
          <w:b/>
          <w:bCs/>
          <w:color w:val="3A8F85"/>
          <w:sz w:val="28"/>
          <w:szCs w:val="28"/>
        </w:rPr>
        <w:t xml:space="preserve">8.1 Migration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c>
          <w:tcPr>
            <w:tcW w:type="dxa" w:w="22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Data Category</w:t>
            </w:r>
          </w:p>
        </w:tc>
        <w:tc>
          <w:tcPr>
            <w:tcW w:type="dxa" w:w="20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 System</w:t>
            </w:r>
          </w:p>
        </w:tc>
        <w:tc>
          <w:tcPr>
            <w:tcW w:type="dxa" w:w="18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Volume (est.)</w:t>
            </w:r>
          </w:p>
        </w:tc>
        <w:tc>
          <w:tcPr>
            <w:tcW w:type="dxa" w:w="336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Migration Approach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Chart of Accounts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Legacy GL / Excel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~2,000 accounts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Full load (transform &amp; map)</w:t>
            </w:r>
          </w:p>
        </w:tc>
      </w:tr>
      <w:tr>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Open AP Invoices</w:t>
            </w:r>
          </w:p>
        </w:tc>
        <w:tc>
          <w:tcPr>
            <w:tcW w:type="dxa" w:w="2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Legacy AP</w:t>
            </w:r>
          </w:p>
        </w:tc>
        <w:tc>
          <w:tcPr>
            <w:tcW w:type="dxa" w:w="18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~500 invoices</w:t>
            </w:r>
          </w:p>
        </w:tc>
        <w:tc>
          <w:tcPr>
            <w:tcW w:type="dxa" w:w="33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Open balance migration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Open AR Invoices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Legacy AR / Fund Admin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~200 invoices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Open balance migration</w:t>
            </w:r>
          </w:p>
        </w:tc>
      </w:tr>
      <w:tr>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Fixed Assets</w:t>
            </w:r>
          </w:p>
        </w:tc>
        <w:tc>
          <w:tcPr>
            <w:tcW w:type="dxa" w:w="2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Legacy FA / Excel</w:t>
            </w:r>
          </w:p>
        </w:tc>
        <w:tc>
          <w:tcPr>
            <w:tcW w:type="dxa" w:w="18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~300 assets</w:t>
            </w:r>
          </w:p>
        </w:tc>
        <w:tc>
          <w:tcPr>
            <w:tcW w:type="dxa" w:w="33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Full load with accumulated depreciation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GL Trial Balance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Legacy GL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 legal entities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Opening balance journal entry</w:t>
            </w:r>
          </w:p>
        </w:tc>
      </w:tr>
      <w:tr>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Vendor Master</w:t>
            </w:r>
          </w:p>
        </w:tc>
        <w:tc>
          <w:tcPr>
            <w:tcW w:type="dxa" w:w="2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Legacy AP / Excel</w:t>
            </w:r>
          </w:p>
        </w:tc>
        <w:tc>
          <w:tcPr>
            <w:tcW w:type="dxa" w:w="18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~1,500 vendors</w:t>
            </w:r>
          </w:p>
        </w:tc>
        <w:tc>
          <w:tcPr>
            <w:tcW w:type="dxa" w:w="33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Full load (cleanse &amp; deduplicate)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Customer Master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Legacy AR / CRM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~500 clients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Full load (cleanse &amp; deduplicate)</w:t>
            </w:r>
          </w:p>
        </w:tc>
      </w:tr>
      <w:tr>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Bank Accounts</w:t>
            </w:r>
          </w:p>
        </w:tc>
        <w:tc>
          <w:tcPr>
            <w:tcW w:type="dxa" w:w="2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Treasury / Banking</w:t>
            </w:r>
          </w:p>
        </w:tc>
        <w:tc>
          <w:tcPr>
            <w:tcW w:type="dxa" w:w="18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~25 accounts</w:t>
            </w:r>
          </w:p>
        </w:tc>
        <w:tc>
          <w:tcPr>
            <w:tcW w:type="dxa" w:w="33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Manual configuration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Historical Journals (2 years)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Legacy GL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~50,000 journals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Archive load for reference</w:t>
            </w:r>
          </w:p>
        </w:tc>
      </w:tr>
      <w:tr>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Employee Data</w:t>
            </w:r>
          </w:p>
        </w:tc>
        <w:tc>
          <w:tcPr>
            <w:tcW w:type="dxa" w:w="2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HRIS</w:t>
            </w:r>
          </w:p>
        </w:tc>
        <w:tc>
          <w:tcPr>
            <w:tcW w:type="dxa" w:w="18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~200 employees</w:t>
            </w:r>
          </w:p>
        </w:tc>
        <w:tc>
          <w:tcPr>
            <w:tcW w:type="dxa" w:w="33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Reference data sync</w:t>
            </w:r>
          </w:p>
        </w:tc>
      </w:tr>
    </w:tbl>
    <w:p>
      <w:pPr>
        <w:pStyle w:val="Heading2"/>
        <w:spacing w:after="160" w:before="280"/>
      </w:pPr>
      <w:r>
        <w:rPr>
          <w:rFonts w:ascii="Arial" w:cs="Arial" w:eastAsia="Arial" w:hAnsi="Arial"/>
          <w:b/>
          <w:bCs/>
          <w:color w:val="3A8F85"/>
          <w:sz w:val="28"/>
          <w:szCs w:val="28"/>
        </w:rPr>
        <w:t xml:space="preserve">8.2 Data Quality Requirements</w:t>
      </w:r>
    </w:p>
    <w:p>
      <w:pPr>
        <w:pStyle w:val="ListParagraph"/>
        <w:numPr>
          <w:ilvl w:val="0"/>
          <w:numId w:val="2"/>
        </w:numPr>
        <w:spacing w:after="60"/>
      </w:pPr>
      <w:r>
        <w:rPr>
          <w:rFonts w:ascii="Arial" w:cs="Arial" w:eastAsia="Arial" w:hAnsi="Arial"/>
          <w:color w:val="333333"/>
          <w:sz w:val="22"/>
          <w:szCs w:val="22"/>
        </w:rPr>
        <w:t xml:space="preserve">Vendor master: Deduplicate, validate tax IDs (BN for Canada, EIN/SSN for US), standardize addresses</w:t>
      </w:r>
    </w:p>
    <w:p>
      <w:pPr>
        <w:pStyle w:val="ListParagraph"/>
        <w:numPr>
          <w:ilvl w:val="0"/>
          <w:numId w:val="2"/>
        </w:numPr>
        <w:spacing w:after="60"/>
      </w:pPr>
      <w:r>
        <w:rPr>
          <w:rFonts w:ascii="Arial" w:cs="Arial" w:eastAsia="Arial" w:hAnsi="Arial"/>
          <w:color w:val="333333"/>
          <w:sz w:val="22"/>
          <w:szCs w:val="22"/>
        </w:rPr>
        <w:t xml:space="preserve">Customer master: Reconcile with CRM, validate KYC/AML status</w:t>
      </w:r>
    </w:p>
    <w:p>
      <w:pPr>
        <w:pStyle w:val="ListParagraph"/>
        <w:numPr>
          <w:ilvl w:val="0"/>
          <w:numId w:val="2"/>
        </w:numPr>
        <w:spacing w:after="60"/>
      </w:pPr>
      <w:r>
        <w:rPr>
          <w:rFonts w:ascii="Arial" w:cs="Arial" w:eastAsia="Arial" w:hAnsi="Arial"/>
          <w:color w:val="333333"/>
          <w:sz w:val="22"/>
          <w:szCs w:val="22"/>
        </w:rPr>
        <w:t xml:space="preserve">Chart of accounts: Map legacy accounts to new segment-based COA with IFRS alignment</w:t>
      </w:r>
    </w:p>
    <w:p>
      <w:pPr>
        <w:pStyle w:val="ListParagraph"/>
        <w:numPr>
          <w:ilvl w:val="0"/>
          <w:numId w:val="2"/>
        </w:numPr>
        <w:spacing w:after="60"/>
      </w:pPr>
      <w:r>
        <w:rPr>
          <w:rFonts w:ascii="Arial" w:cs="Arial" w:eastAsia="Arial" w:hAnsi="Arial"/>
          <w:color w:val="333333"/>
          <w:sz w:val="22"/>
          <w:szCs w:val="22"/>
        </w:rPr>
        <w:t xml:space="preserve">GL balances: Full reconciliation of opening balances to audited financial statements</w:t>
      </w:r>
    </w:p>
    <w:p>
      <w:pPr>
        <w:pStyle w:val="ListParagraph"/>
        <w:numPr>
          <w:ilvl w:val="0"/>
          <w:numId w:val="2"/>
        </w:numPr>
        <w:spacing w:after="60"/>
      </w:pPr>
      <w:r>
        <w:rPr>
          <w:rFonts w:ascii="Arial" w:cs="Arial" w:eastAsia="Arial" w:hAnsi="Arial"/>
          <w:color w:val="333333"/>
          <w:sz w:val="22"/>
          <w:szCs w:val="22"/>
        </w:rPr>
        <w:t xml:space="preserve">Fixed assets: Validate cost basis, accumulated depreciation, useful life, and asset category mapping</w:t>
      </w:r>
    </w:p>
    <w:p>
      <w:r>
        <w:br w:type="page"/>
      </w:r>
    </w:p>
    <w:p>
      <w:pPr>
        <w:pStyle w:val="Heading1"/>
        <w:spacing w:after="200" w:before="360"/>
      </w:pPr>
      <w:r>
        <w:rPr>
          <w:rFonts w:ascii="Arial" w:cs="Arial" w:eastAsia="Arial" w:hAnsi="Arial"/>
          <w:b/>
          <w:bCs/>
          <w:color w:val="2E6B62"/>
          <w:sz w:val="32"/>
          <w:szCs w:val="32"/>
        </w:rPr>
        <w:t xml:space="preserve">9. Security, Controls, and Governance</w:t>
      </w:r>
    </w:p>
    <w:p>
      <w:pPr>
        <w:pStyle w:val="Heading2"/>
        <w:spacing w:after="160" w:before="280"/>
      </w:pPr>
      <w:r>
        <w:rPr>
          <w:rFonts w:ascii="Arial" w:cs="Arial" w:eastAsia="Arial" w:hAnsi="Arial"/>
          <w:b/>
          <w:bCs/>
          <w:color w:val="3A8F85"/>
          <w:sz w:val="28"/>
          <w:szCs w:val="28"/>
        </w:rPr>
        <w:t xml:space="preserve">9.1 Role-Based Access Control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c>
          <w:tcPr>
            <w:tcW w:type="dxa" w:w="20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15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Access Level</w:t>
            </w:r>
          </w:p>
        </w:tc>
        <w:tc>
          <w:tcPr>
            <w:tcW w:type="dxa" w:w="30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Functions</w:t>
            </w:r>
          </w:p>
        </w:tc>
        <w:tc>
          <w:tcPr>
            <w:tcW w:type="dxa" w:w="286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SOD Conflict Rules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CFO / Controller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Full (all entities)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GL close, reporting, consolidation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Cannot process payments</w:t>
            </w:r>
          </w:p>
        </w:tc>
      </w:tr>
      <w:tr>
        <w:tc>
          <w:tcPr>
            <w:tcW w:type="dxa" w:w="2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AP Clerk</w:t>
            </w:r>
          </w:p>
        </w:tc>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Entity-specific</w:t>
            </w:r>
          </w:p>
        </w:tc>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Invoice entry, matching</w:t>
            </w:r>
          </w:p>
        </w:tc>
        <w:tc>
          <w:tcPr>
            <w:tcW w:type="dxa" w:w="28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Cannot approve own invoices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AP Manager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Entity-specific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Invoice approval, payment batch</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Cannot enter invoices</w:t>
            </w:r>
          </w:p>
        </w:tc>
      </w:tr>
      <w:tr>
        <w:tc>
          <w:tcPr>
            <w:tcW w:type="dxa" w:w="2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AR Analyst</w:t>
            </w:r>
          </w:p>
        </w:tc>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Segment-specific</w:t>
            </w:r>
          </w:p>
        </w:tc>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Fee invoicing, collections</w:t>
            </w:r>
          </w:p>
        </w:tc>
        <w:tc>
          <w:tcPr>
            <w:tcW w:type="dxa" w:w="28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Cannot adjust own receivables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Treasury Analyst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Full (cash only)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Bank rec, cash positioning</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Cannot process AP payments</w:t>
            </w:r>
          </w:p>
        </w:tc>
      </w:tr>
      <w:tr>
        <w:tc>
          <w:tcPr>
            <w:tcW w:type="dxa" w:w="2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Fund Accountant</w:t>
            </w:r>
          </w:p>
        </w:tc>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Fund-specific</w:t>
            </w:r>
          </w:p>
        </w:tc>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NAV journal posting, fee calcs</w:t>
            </w:r>
          </w:p>
        </w:tc>
        <w:tc>
          <w:tcPr>
            <w:tcW w:type="dxa" w:w="28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Cannot modify GL structure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Tax Manager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Full (tax only)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Tax calculations, filing prep</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Cannot process payments</w:t>
            </w:r>
          </w:p>
        </w:tc>
      </w:tr>
      <w:tr>
        <w:tc>
          <w:tcPr>
            <w:tcW w:type="dxa" w:w="2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External Auditor (Read-Only)</w:t>
            </w:r>
          </w:p>
        </w:tc>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Full (read)</w:t>
            </w:r>
          </w:p>
        </w:tc>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Report access, audit queries</w:t>
            </w:r>
          </w:p>
        </w:tc>
        <w:tc>
          <w:tcPr>
            <w:tcW w:type="dxa" w:w="28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 transaction access</w:t>
            </w:r>
          </w:p>
        </w:tc>
      </w:tr>
    </w:tbl>
    <w:p>
      <w:pPr>
        <w:pStyle w:val="Heading2"/>
        <w:spacing w:after="160" w:before="280"/>
      </w:pPr>
      <w:r>
        <w:rPr>
          <w:rFonts w:ascii="Arial" w:cs="Arial" w:eastAsia="Arial" w:hAnsi="Arial"/>
          <w:b/>
          <w:bCs/>
          <w:color w:val="3A8F85"/>
          <w:sz w:val="28"/>
          <w:szCs w:val="28"/>
        </w:rPr>
        <w:t xml:space="preserve">9.2 SOX Compliance Considerations</w:t>
      </w:r>
    </w:p>
    <w:p>
      <w:pPr>
        <w:spacing w:after="120"/>
      </w:pPr>
      <w:r>
        <w:rPr>
          <w:rFonts w:ascii="Arial" w:cs="Arial" w:eastAsia="Arial" w:hAnsi="Arial"/>
          <w:color w:val="333333"/>
          <w:sz w:val="22"/>
          <w:szCs w:val="22"/>
        </w:rPr>
        <w:t xml:space="preserve">As a dual-listed public company (NYSE/TSX), Sprott Inc. is subject to Sarbanes-Oxley (SOX) Section 404 requirements for internal controls over financial reporting. The Oracle ERP Cloud implementation must embed the following controls:</w:t>
      </w:r>
    </w:p>
    <w:p>
      <w:pPr>
        <w:pStyle w:val="ListParagraph"/>
        <w:numPr>
          <w:ilvl w:val="0"/>
          <w:numId w:val="2"/>
        </w:numPr>
        <w:spacing w:after="60"/>
      </w:pPr>
      <w:r>
        <w:rPr>
          <w:rFonts w:ascii="Arial" w:cs="Arial" w:eastAsia="Arial" w:hAnsi="Arial"/>
          <w:color w:val="333333"/>
          <w:sz w:val="22"/>
          <w:szCs w:val="22"/>
        </w:rPr>
        <w:t xml:space="preserve">Segregation of Duties (SOD): Automated conflict detection and prevention for AP, AR, GL, and Cash Management</w:t>
      </w:r>
    </w:p>
    <w:p>
      <w:pPr>
        <w:pStyle w:val="ListParagraph"/>
        <w:numPr>
          <w:ilvl w:val="0"/>
          <w:numId w:val="2"/>
        </w:numPr>
        <w:spacing w:after="60"/>
      </w:pPr>
      <w:r>
        <w:rPr>
          <w:rFonts w:ascii="Arial" w:cs="Arial" w:eastAsia="Arial" w:hAnsi="Arial"/>
          <w:color w:val="333333"/>
          <w:sz w:val="22"/>
          <w:szCs w:val="22"/>
        </w:rPr>
        <w:t xml:space="preserve">Automated Journal Entry Approvals: All manual journal entries require dual approval with audit trail</w:t>
      </w:r>
    </w:p>
    <w:p>
      <w:pPr>
        <w:pStyle w:val="ListParagraph"/>
        <w:numPr>
          <w:ilvl w:val="0"/>
          <w:numId w:val="2"/>
        </w:numPr>
        <w:spacing w:after="60"/>
      </w:pPr>
      <w:r>
        <w:rPr>
          <w:rFonts w:ascii="Arial" w:cs="Arial" w:eastAsia="Arial" w:hAnsi="Arial"/>
          <w:color w:val="333333"/>
          <w:sz w:val="22"/>
          <w:szCs w:val="22"/>
        </w:rPr>
        <w:t xml:space="preserve">Period Close Controls: Enforced close calendar preventing posting to closed periods</w:t>
      </w:r>
    </w:p>
    <w:p>
      <w:pPr>
        <w:pStyle w:val="ListParagraph"/>
        <w:numPr>
          <w:ilvl w:val="0"/>
          <w:numId w:val="2"/>
        </w:numPr>
        <w:spacing w:after="60"/>
      </w:pPr>
      <w:r>
        <w:rPr>
          <w:rFonts w:ascii="Arial" w:cs="Arial" w:eastAsia="Arial" w:hAnsi="Arial"/>
          <w:color w:val="333333"/>
          <w:sz w:val="22"/>
          <w:szCs w:val="22"/>
        </w:rPr>
        <w:t xml:space="preserve">Bank Reconciliation Controls: Automated matching with exception reporting for unreconciled items</w:t>
      </w:r>
    </w:p>
    <w:p>
      <w:pPr>
        <w:pStyle w:val="ListParagraph"/>
        <w:numPr>
          <w:ilvl w:val="0"/>
          <w:numId w:val="2"/>
        </w:numPr>
        <w:spacing w:after="60"/>
      </w:pPr>
      <w:r>
        <w:rPr>
          <w:rFonts w:ascii="Arial" w:cs="Arial" w:eastAsia="Arial" w:hAnsi="Arial"/>
          <w:color w:val="333333"/>
          <w:sz w:val="22"/>
          <w:szCs w:val="22"/>
        </w:rPr>
        <w:t xml:space="preserve">Access Management: Quarterly access certification reviews; role-based provisioning via Oracle IAM</w:t>
      </w:r>
    </w:p>
    <w:p>
      <w:pPr>
        <w:pStyle w:val="ListParagraph"/>
        <w:numPr>
          <w:ilvl w:val="0"/>
          <w:numId w:val="2"/>
        </w:numPr>
        <w:spacing w:after="60"/>
      </w:pPr>
      <w:r>
        <w:rPr>
          <w:rFonts w:ascii="Arial" w:cs="Arial" w:eastAsia="Arial" w:hAnsi="Arial"/>
          <w:color w:val="333333"/>
          <w:sz w:val="22"/>
          <w:szCs w:val="22"/>
        </w:rPr>
        <w:t xml:space="preserve">Audit Trail: Complete transaction history with user, timestamp, and before/after values</w:t>
      </w:r>
    </w:p>
    <w:p>
      <w:r>
        <w:br w:type="page"/>
      </w:r>
    </w:p>
    <w:p>
      <w:pPr>
        <w:pStyle w:val="Heading1"/>
        <w:spacing w:after="200" w:before="360"/>
      </w:pPr>
      <w:r>
        <w:rPr>
          <w:rFonts w:ascii="Arial" w:cs="Arial" w:eastAsia="Arial" w:hAnsi="Arial"/>
          <w:b/>
          <w:bCs/>
          <w:color w:val="2E6B62"/>
          <w:sz w:val="32"/>
          <w:szCs w:val="32"/>
        </w:rPr>
        <w:t xml:space="preserve">10. Implementation Team and Governance</w:t>
      </w:r>
    </w:p>
    <w:p>
      <w:pPr>
        <w:pStyle w:val="Heading2"/>
        <w:spacing w:after="160" w:before="280"/>
      </w:pPr>
      <w:r>
        <w:rPr>
          <w:rFonts w:ascii="Arial" w:cs="Arial" w:eastAsia="Arial" w:hAnsi="Arial"/>
          <w:b/>
          <w:bCs/>
          <w:color w:val="3A8F85"/>
          <w:sz w:val="28"/>
          <w:szCs w:val="28"/>
        </w:rPr>
        <w:t xml:space="preserve">10.1 Recommended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500"/>
        <w:gridCol w:w="2360"/>
      </w:tblGrid>
      <w:tr>
        <w:tc>
          <w:tcPr>
            <w:tcW w:type="dxa" w:w="25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Responsibility</w:t>
            </w:r>
          </w:p>
        </w:tc>
        <w:tc>
          <w:tcPr>
            <w:tcW w:type="dxa" w:w="15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Sprott / SI</w:t>
            </w:r>
          </w:p>
        </w:tc>
        <w:tc>
          <w:tcPr>
            <w:tcW w:type="dxa" w:w="236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FTE Allocation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Executive Sponsor (CFO)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Programme oversight, steering committee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0.2 FTE</w:t>
            </w:r>
          </w:p>
        </w:tc>
      </w:tr>
      <w:tr>
        <w:tc>
          <w:tcPr>
            <w:tcW w:type="dxa" w:w="2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Programme Director</w:t>
            </w:r>
          </w:p>
        </w:tc>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Day-to-day programme management</w:t>
            </w:r>
          </w:p>
        </w:tc>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 Partner</w:t>
            </w:r>
          </w:p>
        </w:tc>
        <w:tc>
          <w:tcPr>
            <w:tcW w:type="dxa" w:w="23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 FTE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Functional Lead (GL/R2R)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GL, consolidation, close design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 Partner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 FTE</w:t>
            </w:r>
          </w:p>
        </w:tc>
      </w:tr>
      <w:tr>
        <w:tc>
          <w:tcPr>
            <w:tcW w:type="dxa" w:w="2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Functional Lead (AP/P2P)</w:t>
            </w:r>
          </w:p>
        </w:tc>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AP, procurement, expenses</w:t>
            </w:r>
          </w:p>
        </w:tc>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 Partner</w:t>
            </w:r>
          </w:p>
        </w:tc>
        <w:tc>
          <w:tcPr>
            <w:tcW w:type="dxa" w:w="23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0.5 FTE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Functional Lead (AR/O2C)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AR, fee billing, revenue recognition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 Partner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0.5 FTE</w:t>
            </w:r>
          </w:p>
        </w:tc>
      </w:tr>
      <w:tr>
        <w:tc>
          <w:tcPr>
            <w:tcW w:type="dxa" w:w="2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Technical Lead / Integration</w:t>
            </w:r>
          </w:p>
        </w:tc>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OIC, APIs, data migration</w:t>
            </w:r>
          </w:p>
        </w:tc>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 Partner</w:t>
            </w:r>
          </w:p>
        </w:tc>
        <w:tc>
          <w:tcPr>
            <w:tcW w:type="dxa" w:w="23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 FTE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Security &amp; Controls Lead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RBAC, SOD, SOX controls design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 Partner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0.5 FTE</w:t>
            </w:r>
          </w:p>
        </w:tc>
      </w:tr>
      <w:tr>
        <w:tc>
          <w:tcPr>
            <w:tcW w:type="dxa" w:w="2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Data Architect</w:t>
            </w:r>
          </w:p>
        </w:tc>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COA design, data migration, data quality</w:t>
            </w:r>
          </w:p>
        </w:tc>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 Partner</w:t>
            </w:r>
          </w:p>
        </w:tc>
        <w:tc>
          <w:tcPr>
            <w:tcW w:type="dxa" w:w="23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0.5 FTE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Change Management Lead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Training, communications, adoption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 Partner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0.5 FTE</w:t>
            </w:r>
          </w:p>
        </w:tc>
      </w:tr>
      <w:tr>
        <w:tc>
          <w:tcPr>
            <w:tcW w:type="dxa" w:w="2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Finance Lead</w:t>
            </w:r>
          </w:p>
        </w:tc>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Business requirements, UAT, sign-off</w:t>
            </w:r>
          </w:p>
        </w:tc>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w:t>
            </w:r>
          </w:p>
        </w:tc>
        <w:tc>
          <w:tcPr>
            <w:tcW w:type="dxa" w:w="23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 FTE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 IT Lead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Infrastructure, security, integration support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0.5 FTE</w:t>
            </w:r>
          </w:p>
        </w:tc>
      </w:tr>
      <w:tr>
        <w:tc>
          <w:tcPr>
            <w:tcW w:type="dxa" w:w="2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Fund Accounting SME</w:t>
            </w:r>
          </w:p>
        </w:tc>
        <w:tc>
          <w:tcPr>
            <w:tcW w:type="dxa" w:w="30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Fund-specific requirements, NAV processes</w:t>
            </w:r>
          </w:p>
        </w:tc>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Sprott</w:t>
            </w:r>
          </w:p>
        </w:tc>
        <w:tc>
          <w:tcPr>
            <w:tcW w:type="dxa" w:w="23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0.5 FTE</w:t>
            </w:r>
          </w:p>
        </w:tc>
      </w:tr>
    </w:tbl>
    <w:p>
      <w:pPr>
        <w:pStyle w:val="Heading2"/>
        <w:spacing w:after="160" w:before="280"/>
      </w:pPr>
      <w:r>
        <w:rPr>
          <w:rFonts w:ascii="Arial" w:cs="Arial" w:eastAsia="Arial" w:hAnsi="Arial"/>
          <w:b/>
          <w:bCs/>
          <w:color w:val="3A8F85"/>
          <w:sz w:val="28"/>
          <w:szCs w:val="28"/>
        </w:rPr>
        <w:t xml:space="preserve">10.2 Governance Model</w:t>
      </w:r>
    </w:p>
    <w:p>
      <w:pPr>
        <w:pStyle w:val="ListParagraph"/>
        <w:numPr>
          <w:ilvl w:val="0"/>
          <w:numId w:val="2"/>
        </w:numPr>
        <w:spacing w:after="60"/>
      </w:pPr>
      <w:r>
        <w:rPr>
          <w:rFonts w:ascii="Arial" w:cs="Arial" w:eastAsia="Arial" w:hAnsi="Arial"/>
          <w:color w:val="333333"/>
          <w:sz w:val="22"/>
          <w:szCs w:val="22"/>
        </w:rPr>
        <w:t xml:space="preserve">Steering Committee: Monthly, chaired by CFO, includes CIO, Programme Director, SI Partner</w:t>
      </w:r>
    </w:p>
    <w:p>
      <w:pPr>
        <w:pStyle w:val="ListParagraph"/>
        <w:numPr>
          <w:ilvl w:val="0"/>
          <w:numId w:val="2"/>
        </w:numPr>
        <w:spacing w:after="60"/>
      </w:pPr>
      <w:r>
        <w:rPr>
          <w:rFonts w:ascii="Arial" w:cs="Arial" w:eastAsia="Arial" w:hAnsi="Arial"/>
          <w:color w:val="333333"/>
          <w:sz w:val="22"/>
          <w:szCs w:val="22"/>
        </w:rPr>
        <w:t xml:space="preserve">Programme Board: Bi-weekly, detailed status, risk/issue review, decision log</w:t>
      </w:r>
    </w:p>
    <w:p>
      <w:pPr>
        <w:pStyle w:val="ListParagraph"/>
        <w:numPr>
          <w:ilvl w:val="0"/>
          <w:numId w:val="2"/>
        </w:numPr>
        <w:spacing w:after="60"/>
      </w:pPr>
      <w:r>
        <w:rPr>
          <w:rFonts w:ascii="Arial" w:cs="Arial" w:eastAsia="Arial" w:hAnsi="Arial"/>
          <w:color w:val="333333"/>
          <w:sz w:val="22"/>
          <w:szCs w:val="22"/>
        </w:rPr>
        <w:t xml:space="preserve">Workstream Stand-ups: Daily/weekly per module, Agile-style sprint ceremonies</w:t>
      </w:r>
    </w:p>
    <w:p>
      <w:pPr>
        <w:pStyle w:val="ListParagraph"/>
        <w:numPr>
          <w:ilvl w:val="0"/>
          <w:numId w:val="2"/>
        </w:numPr>
        <w:spacing w:after="60"/>
      </w:pPr>
      <w:r>
        <w:rPr>
          <w:rFonts w:ascii="Arial" w:cs="Arial" w:eastAsia="Arial" w:hAnsi="Arial"/>
          <w:color w:val="333333"/>
          <w:sz w:val="22"/>
          <w:szCs w:val="22"/>
        </w:rPr>
        <w:t xml:space="preserve">Quality Gates: Design sign-off, CRP1, CRP2, UAT entry, Go-Live readiness</w:t>
      </w:r>
    </w:p>
    <w:p>
      <w:pPr>
        <w:pStyle w:val="ListParagraph"/>
        <w:numPr>
          <w:ilvl w:val="0"/>
          <w:numId w:val="2"/>
        </w:numPr>
        <w:spacing w:after="60"/>
      </w:pPr>
      <w:r>
        <w:rPr>
          <w:rFonts w:ascii="Arial" w:cs="Arial" w:eastAsia="Arial" w:hAnsi="Arial"/>
          <w:color w:val="333333"/>
          <w:sz w:val="22"/>
          <w:szCs w:val="22"/>
        </w:rPr>
        <w:t xml:space="preserve">Change Control Board: Formal scope change process with impact assessment</w:t>
      </w:r>
    </w:p>
    <w:p>
      <w:r>
        <w:br w:type="page"/>
      </w:r>
    </w:p>
    <w:p>
      <w:pPr>
        <w:pStyle w:val="Heading1"/>
        <w:spacing w:after="200" w:before="360"/>
      </w:pPr>
      <w:r>
        <w:rPr>
          <w:rFonts w:ascii="Arial" w:cs="Arial" w:eastAsia="Arial" w:hAnsi="Arial"/>
          <w:b/>
          <w:bCs/>
          <w:color w:val="2E6B62"/>
          <w:sz w:val="32"/>
          <w:szCs w:val="32"/>
        </w:rPr>
        <w:t xml:space="preserve">11. Risks, Assumptions, and Dependencies</w:t>
      </w:r>
    </w:p>
    <w:p>
      <w:pPr>
        <w:pStyle w:val="Heading2"/>
        <w:spacing w:after="160" w:before="280"/>
      </w:pPr>
      <w:r>
        <w:rPr>
          <w:rFonts w:ascii="Arial" w:cs="Arial" w:eastAsia="Arial" w:hAnsi="Arial"/>
          <w:b/>
          <w:bCs/>
          <w:color w:val="3A8F85"/>
          <w:sz w:val="28"/>
          <w:szCs w:val="28"/>
        </w:rPr>
        <w:t xml:space="preserve">11.1 Key Assumptions</w:t>
      </w:r>
    </w:p>
    <w:p>
      <w:pPr>
        <w:pStyle w:val="ListParagraph"/>
        <w:numPr>
          <w:ilvl w:val="0"/>
          <w:numId w:val="3"/>
        </w:numPr>
        <w:spacing w:after="60"/>
      </w:pPr>
      <w:r>
        <w:rPr>
          <w:rFonts w:ascii="Arial" w:cs="Arial" w:eastAsia="Arial" w:hAnsi="Arial"/>
          <w:color w:val="333333"/>
          <w:sz w:val="22"/>
          <w:szCs w:val="22"/>
        </w:rPr>
        <w:t xml:space="preserve">Sprott will adopt Oracle Fusion Cloud ERP SaaS (not on-premise or hosted)</w:t>
      </w:r>
    </w:p>
    <w:p>
      <w:pPr>
        <w:pStyle w:val="ListParagraph"/>
        <w:numPr>
          <w:ilvl w:val="0"/>
          <w:numId w:val="3"/>
        </w:numPr>
        <w:spacing w:after="60"/>
      </w:pPr>
      <w:r>
        <w:rPr>
          <w:rFonts w:ascii="Arial" w:cs="Arial" w:eastAsia="Arial" w:hAnsi="Arial"/>
          <w:color w:val="333333"/>
          <w:sz w:val="22"/>
          <w:szCs w:val="22"/>
        </w:rPr>
        <w:t xml:space="preserve">IFRS is the primary reporting standard; US GAAP secondary ledger for SEC-registered entities</w:t>
      </w:r>
    </w:p>
    <w:p>
      <w:pPr>
        <w:pStyle w:val="ListParagraph"/>
        <w:numPr>
          <w:ilvl w:val="0"/>
          <w:numId w:val="3"/>
        </w:numPr>
        <w:spacing w:after="60"/>
      </w:pPr>
      <w:r>
        <w:rPr>
          <w:rFonts w:ascii="Arial" w:cs="Arial" w:eastAsia="Arial" w:hAnsi="Arial"/>
          <w:color w:val="333333"/>
          <w:sz w:val="22"/>
          <w:szCs w:val="22"/>
        </w:rPr>
        <w:t xml:space="preserve">Fund-level accounting remains with third-party fund administrators; Oracle ERP handles corporate/management company accounting</w:t>
      </w:r>
    </w:p>
    <w:p>
      <w:pPr>
        <w:pStyle w:val="ListParagraph"/>
        <w:numPr>
          <w:ilvl w:val="0"/>
          <w:numId w:val="3"/>
        </w:numPr>
        <w:spacing w:after="60"/>
      </w:pPr>
      <w:r>
        <w:rPr>
          <w:rFonts w:ascii="Arial" w:cs="Arial" w:eastAsia="Arial" w:hAnsi="Arial"/>
          <w:color w:val="333333"/>
          <w:sz w:val="22"/>
          <w:szCs w:val="22"/>
        </w:rPr>
        <w:t xml:space="preserve">NAV feeds from fund administrators are available via structured file (CSV/XML) or API</w:t>
      </w:r>
    </w:p>
    <w:p>
      <w:pPr>
        <w:pStyle w:val="ListParagraph"/>
        <w:numPr>
          <w:ilvl w:val="0"/>
          <w:numId w:val="3"/>
        </w:numPr>
        <w:spacing w:after="60"/>
      </w:pPr>
      <w:r>
        <w:rPr>
          <w:rFonts w:ascii="Arial" w:cs="Arial" w:eastAsia="Arial" w:hAnsi="Arial"/>
          <w:color w:val="333333"/>
          <w:sz w:val="22"/>
          <w:szCs w:val="22"/>
        </w:rPr>
        <w:t xml:space="preserve">Existing payroll system (ADP or Ceridian) will continue; integration via journal import</w:t>
      </w:r>
    </w:p>
    <w:p>
      <w:pPr>
        <w:pStyle w:val="ListParagraph"/>
        <w:numPr>
          <w:ilvl w:val="0"/>
          <w:numId w:val="3"/>
        </w:numPr>
        <w:spacing w:after="60"/>
      </w:pPr>
      <w:r>
        <w:rPr>
          <w:rFonts w:ascii="Arial" w:cs="Arial" w:eastAsia="Arial" w:hAnsi="Arial"/>
          <w:color w:val="333333"/>
          <w:sz w:val="22"/>
          <w:szCs w:val="22"/>
        </w:rPr>
        <w:t xml:space="preserve">Sprott will designate a dedicated Finance Lead and IT Lead with minimum 50% allocation</w:t>
      </w:r>
    </w:p>
    <w:p>
      <w:pPr>
        <w:pStyle w:val="ListParagraph"/>
        <w:numPr>
          <w:ilvl w:val="0"/>
          <w:numId w:val="3"/>
        </w:numPr>
        <w:spacing w:after="60"/>
      </w:pPr>
      <w:r>
        <w:rPr>
          <w:rFonts w:ascii="Arial" w:cs="Arial" w:eastAsia="Arial" w:hAnsi="Arial"/>
          <w:color w:val="333333"/>
          <w:sz w:val="22"/>
          <w:szCs w:val="22"/>
        </w:rPr>
        <w:t xml:space="preserve">Oracle EPM Cloud may be deployed as a separate Phase 5 for budgeting and forecasting</w:t>
      </w:r>
    </w:p>
    <w:p>
      <w:pPr>
        <w:pStyle w:val="Heading2"/>
        <w:spacing w:after="160" w:before="280"/>
      </w:pPr>
      <w:r>
        <w:rPr>
          <w:rFonts w:ascii="Arial" w:cs="Arial" w:eastAsia="Arial" w:hAnsi="Arial"/>
          <w:b/>
          <w:bCs/>
          <w:color w:val="3A8F85"/>
          <w:sz w:val="28"/>
          <w:szCs w:val="28"/>
        </w:rPr>
        <w:t xml:space="preserve">11.2 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Impact</w:t>
            </w:r>
          </w:p>
        </w:tc>
        <w:tc>
          <w:tcPr>
            <w:tcW w:type="dxa" w:w="12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Likelihood</w:t>
            </w:r>
          </w:p>
        </w:tc>
        <w:tc>
          <w:tcPr>
            <w:tcW w:type="dxa" w:w="416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Fund fee calculation complexity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Early prototype; involve fund accounting SME in design</w:t>
            </w:r>
          </w:p>
        </w:tc>
      </w:tr>
      <w:tr>
        <w:tc>
          <w:tcPr>
            <w:tcW w:type="dxa" w:w="28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Multi-entity intercompany complexity</w:t>
            </w:r>
          </w:p>
        </w:tc>
        <w:tc>
          <w:tcPr>
            <w:tcW w:type="dxa" w:w="1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Medium</w:t>
            </w:r>
          </w:p>
        </w:tc>
        <w:tc>
          <w:tcPr>
            <w:tcW w:type="dxa" w:w="41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Leverage Oracle Intercompany module; early testing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IFRS 2 stock comp volatility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Custom calculation engine; reconciliation controls</w:t>
            </w:r>
          </w:p>
        </w:tc>
      </w:tr>
      <w:tr>
        <w:tc>
          <w:tcPr>
            <w:tcW w:type="dxa" w:w="28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Data migration quality (vendor/customer)</w:t>
            </w:r>
          </w:p>
        </w:tc>
        <w:tc>
          <w:tcPr>
            <w:tcW w:type="dxa" w:w="1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Medium</w:t>
            </w:r>
          </w:p>
        </w:tc>
        <w:tc>
          <w:tcPr>
            <w:tcW w:type="dxa" w:w="41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Data profiling and cleansing sprint in Phase 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Change resistance from finance team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Early engagement; role-based training programme</w:t>
            </w:r>
          </w:p>
        </w:tc>
      </w:tr>
      <w:tr>
        <w:tc>
          <w:tcPr>
            <w:tcW w:type="dxa" w:w="28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Integration delays with fund admin systems</w:t>
            </w:r>
          </w:p>
        </w:tc>
        <w:tc>
          <w:tcPr>
            <w:tcW w:type="dxa" w:w="1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Low</w:t>
            </w:r>
          </w:p>
        </w:tc>
        <w:tc>
          <w:tcPr>
            <w:tcW w:type="dxa" w:w="41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Early API specification; parallel file-based fallback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Regulatory reporting gap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Map all reporting requirements in Phase 1 design</w:t>
            </w:r>
          </w:p>
        </w:tc>
      </w:tr>
    </w:tbl>
    <w:p>
      <w:pPr>
        <w:pStyle w:val="Heading2"/>
        <w:spacing w:after="160" w:before="280"/>
      </w:pPr>
      <w:r>
        <w:rPr>
          <w:rFonts w:ascii="Arial" w:cs="Arial" w:eastAsia="Arial" w:hAnsi="Arial"/>
          <w:b/>
          <w:bCs/>
          <w:color w:val="3A8F85"/>
          <w:sz w:val="28"/>
          <w:szCs w:val="28"/>
        </w:rPr>
        <w:t xml:space="preserve">11.3 Dependencies</w:t>
      </w:r>
    </w:p>
    <w:p>
      <w:pPr>
        <w:pStyle w:val="ListParagraph"/>
        <w:numPr>
          <w:ilvl w:val="0"/>
          <w:numId w:val="2"/>
        </w:numPr>
        <w:spacing w:after="60"/>
      </w:pPr>
      <w:r>
        <w:rPr>
          <w:rFonts w:ascii="Arial" w:cs="Arial" w:eastAsia="Arial" w:hAnsi="Arial"/>
          <w:color w:val="333333"/>
          <w:sz w:val="22"/>
          <w:szCs w:val="22"/>
        </w:rPr>
        <w:t xml:space="preserve">Oracle Cloud tenancy provisioned and available for configuration</w:t>
      </w:r>
    </w:p>
    <w:p>
      <w:pPr>
        <w:pStyle w:val="ListParagraph"/>
        <w:numPr>
          <w:ilvl w:val="0"/>
          <w:numId w:val="2"/>
        </w:numPr>
        <w:spacing w:after="60"/>
      </w:pPr>
      <w:r>
        <w:rPr>
          <w:rFonts w:ascii="Arial" w:cs="Arial" w:eastAsia="Arial" w:hAnsi="Arial"/>
          <w:color w:val="333333"/>
          <w:sz w:val="22"/>
          <w:szCs w:val="22"/>
        </w:rPr>
        <w:t xml:space="preserve">Sprott IT team provides VPN/connectivity for integration testing</w:t>
      </w:r>
    </w:p>
    <w:p>
      <w:pPr>
        <w:pStyle w:val="ListParagraph"/>
        <w:numPr>
          <w:ilvl w:val="0"/>
          <w:numId w:val="2"/>
        </w:numPr>
        <w:spacing w:after="60"/>
      </w:pPr>
      <w:r>
        <w:rPr>
          <w:rFonts w:ascii="Arial" w:cs="Arial" w:eastAsia="Arial" w:hAnsi="Arial"/>
          <w:color w:val="333333"/>
          <w:sz w:val="22"/>
          <w:szCs w:val="22"/>
        </w:rPr>
        <w:t xml:space="preserve">Fund administrators agree to provide daily NAV feed specifications by Phase 1 design</w:t>
      </w:r>
    </w:p>
    <w:p>
      <w:pPr>
        <w:pStyle w:val="ListParagraph"/>
        <w:numPr>
          <w:ilvl w:val="0"/>
          <w:numId w:val="2"/>
        </w:numPr>
        <w:spacing w:after="60"/>
      </w:pPr>
      <w:r>
        <w:rPr>
          <w:rFonts w:ascii="Arial" w:cs="Arial" w:eastAsia="Arial" w:hAnsi="Arial"/>
          <w:color w:val="333333"/>
          <w:sz w:val="22"/>
          <w:szCs w:val="22"/>
        </w:rPr>
        <w:t xml:space="preserve">External auditors consulted on COA design and opening balance approach</w:t>
      </w:r>
    </w:p>
    <w:p>
      <w:pPr>
        <w:pStyle w:val="ListParagraph"/>
        <w:numPr>
          <w:ilvl w:val="0"/>
          <w:numId w:val="2"/>
        </w:numPr>
        <w:spacing w:after="60"/>
      </w:pPr>
      <w:r>
        <w:rPr>
          <w:rFonts w:ascii="Arial" w:cs="Arial" w:eastAsia="Arial" w:hAnsi="Arial"/>
          <w:color w:val="333333"/>
          <w:sz w:val="22"/>
          <w:szCs w:val="22"/>
        </w:rPr>
        <w:t xml:space="preserve">Legal/compliance review of data residency requirements (Canadian data sovereignty)</w:t>
      </w:r>
    </w:p>
    <w:p>
      <w:r>
        <w:br w:type="page"/>
      </w:r>
    </w:p>
    <w:p>
      <w:pPr>
        <w:pStyle w:val="Heading1"/>
        <w:spacing w:after="200" w:before="360"/>
      </w:pPr>
      <w:r>
        <w:rPr>
          <w:rFonts w:ascii="Arial" w:cs="Arial" w:eastAsia="Arial" w:hAnsi="Arial"/>
          <w:b/>
          <w:bCs/>
          <w:color w:val="2E6B62"/>
          <w:sz w:val="32"/>
          <w:szCs w:val="32"/>
        </w:rPr>
        <w:t xml:space="preserve">12. Investment Estimate</w:t>
      </w:r>
    </w:p>
    <w:p>
      <w:pPr>
        <w:pStyle w:val="Heading2"/>
        <w:spacing w:after="160" w:before="280"/>
      </w:pPr>
      <w:r>
        <w:rPr>
          <w:rFonts w:ascii="Arial" w:cs="Arial" w:eastAsia="Arial" w:hAnsi="Arial"/>
          <w:b/>
          <w:bCs/>
          <w:color w:val="3A8F85"/>
          <w:sz w:val="28"/>
          <w:szCs w:val="28"/>
        </w:rPr>
        <w:t xml:space="preserve">12.1 High-Level Cost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1200"/>
        <w:gridCol w:w="1760"/>
      </w:tblGrid>
      <w:tr>
        <w:tc>
          <w:tcPr>
            <w:tcW w:type="dxa" w:w="28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Cost Category</w:t>
            </w:r>
          </w:p>
        </w:tc>
        <w:tc>
          <w:tcPr>
            <w:tcW w:type="dxa" w:w="12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Phase 1</w:t>
            </w:r>
          </w:p>
        </w:tc>
        <w:tc>
          <w:tcPr>
            <w:tcW w:type="dxa" w:w="12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Phase 2</w:t>
            </w:r>
          </w:p>
        </w:tc>
        <w:tc>
          <w:tcPr>
            <w:tcW w:type="dxa" w:w="12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Phase 3</w:t>
            </w:r>
          </w:p>
        </w:tc>
        <w:tc>
          <w:tcPr>
            <w:tcW w:type="dxa" w:w="12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Phase 4</w:t>
            </w:r>
          </w:p>
        </w:tc>
        <w:tc>
          <w:tcPr>
            <w:tcW w:type="dxa" w:w="176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Total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 Implementation Services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$1.8M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$0.8M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$0.5M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$0.7M</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$3.8M</w:t>
            </w:r>
          </w:p>
        </w:tc>
      </w:tr>
      <w:tr>
        <w:tc>
          <w:tcPr>
            <w:tcW w:type="dxa" w:w="28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Oracle Cloud Licenses (Annual)</w:t>
            </w:r>
          </w:p>
        </w:tc>
        <w:tc>
          <w:tcPr>
            <w:tcW w:type="dxa" w:w="1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$350K</w:t>
            </w:r>
          </w:p>
        </w:tc>
        <w:tc>
          <w:tcPr>
            <w:tcW w:type="dxa" w:w="1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Included</w:t>
            </w:r>
          </w:p>
        </w:tc>
        <w:tc>
          <w:tcPr>
            <w:tcW w:type="dxa" w:w="1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Included</w:t>
            </w:r>
          </w:p>
        </w:tc>
        <w:tc>
          <w:tcPr>
            <w:tcW w:type="dxa" w:w="1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+$50K</w:t>
            </w:r>
          </w:p>
        </w:tc>
        <w:tc>
          <w:tcPr>
            <w:tcW w:type="dxa" w:w="17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$400K/yr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Integration Development (OIC)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$200K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$100K</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$450K</w:t>
            </w:r>
          </w:p>
        </w:tc>
      </w:tr>
      <w:tr>
        <w:tc>
          <w:tcPr>
            <w:tcW w:type="dxa" w:w="28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Data Migration</w:t>
            </w:r>
          </w:p>
        </w:tc>
        <w:tc>
          <w:tcPr>
            <w:tcW w:type="dxa" w:w="1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$150K</w:t>
            </w:r>
          </w:p>
        </w:tc>
        <w:tc>
          <w:tcPr>
            <w:tcW w:type="dxa" w:w="1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$50K</w:t>
            </w:r>
          </w:p>
        </w:tc>
        <w:tc>
          <w:tcPr>
            <w:tcW w:type="dxa" w:w="1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t>
            </w:r>
          </w:p>
        </w:tc>
        <w:tc>
          <w:tcPr>
            <w:tcW w:type="dxa" w:w="17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$200K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Change Management &amp; Training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$75K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$50K</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$275K</w:t>
            </w:r>
          </w:p>
        </w:tc>
      </w:tr>
      <w:tr>
        <w:tc>
          <w:tcPr>
            <w:tcW w:type="dxa" w:w="28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Contingency (15%)</w:t>
            </w:r>
          </w:p>
        </w:tc>
        <w:tc>
          <w:tcPr>
            <w:tcW w:type="dxa" w:w="1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$390K</w:t>
            </w:r>
          </w:p>
        </w:tc>
        <w:tc>
          <w:tcPr>
            <w:tcW w:type="dxa" w:w="1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$154K</w:t>
            </w:r>
          </w:p>
        </w:tc>
        <w:tc>
          <w:tcPr>
            <w:tcW w:type="dxa" w:w="1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$90K</w:t>
            </w:r>
          </w:p>
        </w:tc>
        <w:tc>
          <w:tcPr>
            <w:tcW w:type="dxa" w:w="1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$135K</w:t>
            </w:r>
          </w:p>
        </w:tc>
        <w:tc>
          <w:tcPr>
            <w:tcW w:type="dxa" w:w="17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$769K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Total (Implementation)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$2.99M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$1.18M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$0.69M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$1.04M</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$5.89M</w:t>
            </w:r>
          </w:p>
        </w:tc>
      </w:tr>
    </w:tbl>
    <w:p>
      <w:pPr>
        <w:spacing w:after="120"/>
      </w:pPr>
      <w:r>
        <w:rPr>
          <w:rFonts w:ascii="Arial" w:cs="Arial" w:eastAsia="Arial" w:hAnsi="Arial"/>
          <w:color w:val="333333"/>
          <w:sz w:val="22"/>
          <w:szCs w:val="22"/>
        </w:rPr>
        <w:t xml:space="preserve">Note: All figures are estimates in US dollars and subject to detailed scoping. Oracle license costs are annual subscription fees. SI implementation costs assume a blended rate reflective of Big 4 / SI consulting engagement.</w:t>
      </w:r>
    </w:p>
    <w:p>
      <w:pPr>
        <w:pStyle w:val="Heading2"/>
        <w:spacing w:after="160" w:before="280"/>
      </w:pPr>
      <w:r>
        <w:rPr>
          <w:rFonts w:ascii="Arial" w:cs="Arial" w:eastAsia="Arial" w:hAnsi="Arial"/>
          <w:b/>
          <w:bCs/>
          <w:color w:val="3A8F85"/>
          <w:sz w:val="28"/>
          <w:szCs w:val="28"/>
        </w:rPr>
        <w:t xml:space="preserve">12.2 Expected Business Value</w:t>
      </w:r>
    </w:p>
    <w:p>
      <w:pPr>
        <w:pStyle w:val="ListParagraph"/>
        <w:numPr>
          <w:ilvl w:val="0"/>
          <w:numId w:val="2"/>
        </w:numPr>
        <w:spacing w:after="60"/>
      </w:pPr>
      <w:r>
        <w:rPr>
          <w:rFonts w:ascii="Arial" w:cs="Arial" w:eastAsia="Arial" w:hAnsi="Arial"/>
          <w:color w:val="333333"/>
          <w:sz w:val="22"/>
          <w:szCs w:val="22"/>
        </w:rPr>
        <w:t xml:space="preserve">30-40% reduction in manual journal entry processing through automation</w:t>
      </w:r>
    </w:p>
    <w:p>
      <w:pPr>
        <w:pStyle w:val="ListParagraph"/>
        <w:numPr>
          <w:ilvl w:val="0"/>
          <w:numId w:val="2"/>
        </w:numPr>
        <w:spacing w:after="60"/>
      </w:pPr>
      <w:r>
        <w:rPr>
          <w:rFonts w:ascii="Arial" w:cs="Arial" w:eastAsia="Arial" w:hAnsi="Arial"/>
          <w:color w:val="333333"/>
          <w:sz w:val="22"/>
          <w:szCs w:val="22"/>
        </w:rPr>
        <w:t xml:space="preserve">Month-end close cycle reduced from 10+ days to 5 days</w:t>
      </w:r>
    </w:p>
    <w:p>
      <w:pPr>
        <w:pStyle w:val="ListParagraph"/>
        <w:numPr>
          <w:ilvl w:val="0"/>
          <w:numId w:val="2"/>
        </w:numPr>
        <w:spacing w:after="60"/>
      </w:pPr>
      <w:r>
        <w:rPr>
          <w:rFonts w:ascii="Arial" w:cs="Arial" w:eastAsia="Arial" w:hAnsi="Arial"/>
          <w:color w:val="333333"/>
          <w:sz w:val="22"/>
          <w:szCs w:val="22"/>
        </w:rPr>
        <w:t xml:space="preserve">Real-time consolidated financial visibility across all 9+ legal entities</w:t>
      </w:r>
    </w:p>
    <w:p>
      <w:pPr>
        <w:pStyle w:val="ListParagraph"/>
        <w:numPr>
          <w:ilvl w:val="0"/>
          <w:numId w:val="2"/>
        </w:numPr>
        <w:spacing w:after="60"/>
      </w:pPr>
      <w:r>
        <w:rPr>
          <w:rFonts w:ascii="Arial" w:cs="Arial" w:eastAsia="Arial" w:hAnsi="Arial"/>
          <w:color w:val="333333"/>
          <w:sz w:val="22"/>
          <w:szCs w:val="22"/>
        </w:rPr>
        <w:t xml:space="preserve">Automated intercompany eliminations saving 2-3 days per close cycle</w:t>
      </w:r>
    </w:p>
    <w:p>
      <w:pPr>
        <w:pStyle w:val="ListParagraph"/>
        <w:numPr>
          <w:ilvl w:val="0"/>
          <w:numId w:val="2"/>
        </w:numPr>
        <w:spacing w:after="60"/>
      </w:pPr>
      <w:r>
        <w:rPr>
          <w:rFonts w:ascii="Arial" w:cs="Arial" w:eastAsia="Arial" w:hAnsi="Arial"/>
          <w:color w:val="333333"/>
          <w:sz w:val="22"/>
          <w:szCs w:val="22"/>
        </w:rPr>
        <w:t xml:space="preserve">Enhanced SOX compliance with embedded controls and automated audit trail</w:t>
      </w:r>
    </w:p>
    <w:p>
      <w:pPr>
        <w:pStyle w:val="ListParagraph"/>
        <w:numPr>
          <w:ilvl w:val="0"/>
          <w:numId w:val="2"/>
        </w:numPr>
        <w:spacing w:after="60"/>
      </w:pPr>
      <w:r>
        <w:rPr>
          <w:rFonts w:ascii="Arial" w:cs="Arial" w:eastAsia="Arial" w:hAnsi="Arial"/>
          <w:color w:val="333333"/>
          <w:sz w:val="22"/>
          <w:szCs w:val="22"/>
        </w:rPr>
        <w:t xml:space="preserve">Scalable platform supporting continued AUM growth beyond $100 billion</w:t>
      </w:r>
    </w:p>
    <w:p>
      <w:pPr>
        <w:pStyle w:val="ListParagraph"/>
        <w:numPr>
          <w:ilvl w:val="0"/>
          <w:numId w:val="2"/>
        </w:numPr>
        <w:spacing w:after="60"/>
      </w:pPr>
      <w:r>
        <w:rPr>
          <w:rFonts w:ascii="Arial" w:cs="Arial" w:eastAsia="Arial" w:hAnsi="Arial"/>
          <w:color w:val="333333"/>
          <w:sz w:val="22"/>
          <w:szCs w:val="22"/>
        </w:rPr>
        <w:t xml:space="preserve">Single source of truth eliminating spreadsheet-based shadow accounting</w:t>
      </w:r>
    </w:p>
    <w:p>
      <w:r>
        <w:br w:type="page"/>
      </w:r>
    </w:p>
    <w:p>
      <w:pPr>
        <w:pStyle w:val="Heading1"/>
        <w:spacing w:after="200" w:before="360"/>
      </w:pPr>
      <w:r>
        <w:rPr>
          <w:rFonts w:ascii="Arial" w:cs="Arial" w:eastAsia="Arial" w:hAnsi="Arial"/>
          <w:b/>
          <w:bCs/>
          <w:color w:val="2E6B62"/>
          <w:sz w:val="32"/>
          <w:szCs w:val="32"/>
        </w:rPr>
        <w:t xml:space="preserve">Appendix A: Sprott Asset Management KPI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500"/>
        <w:gridCol w:w="1800"/>
        <w:gridCol w:w="2360"/>
      </w:tblGrid>
      <w:tr>
        <w:tc>
          <w:tcPr>
            <w:tcW w:type="dxa" w:w="15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KPI Category</w:t>
            </w:r>
          </w:p>
        </w:tc>
        <w:tc>
          <w:tcPr>
            <w:tcW w:type="dxa" w:w="22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KPI</w:t>
            </w:r>
          </w:p>
        </w:tc>
        <w:tc>
          <w:tcPr>
            <w:tcW w:type="dxa" w:w="15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Current</w:t>
            </w:r>
          </w:p>
        </w:tc>
        <w:tc>
          <w:tcPr>
            <w:tcW w:type="dxa" w:w="18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Target (Post-ERP)</w:t>
            </w:r>
          </w:p>
        </w:tc>
        <w:tc>
          <w:tcPr>
            <w:tcW w:type="dxa" w:w="236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Measurement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Growth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AUM Growth (YoY)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&gt;15% sustained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Monthly AUM report</w:t>
            </w:r>
          </w:p>
        </w:tc>
      </w:tr>
      <w:tr>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Growth</w:t>
            </w:r>
          </w:p>
        </w:tc>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Net Flows</w:t>
            </w:r>
          </w:p>
        </w:tc>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$3.9B</w:t>
            </w:r>
          </w:p>
        </w:tc>
        <w:tc>
          <w:tcPr>
            <w:tcW w:type="dxa" w:w="18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&gt;$2B annually</w:t>
            </w:r>
          </w:p>
        </w:tc>
        <w:tc>
          <w:tcPr>
            <w:tcW w:type="dxa" w:w="23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Monthly flow report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Profitability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Adjusted EBITDA Margin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&gt;65%</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Quarterly P&amp;L</w:t>
            </w:r>
          </w:p>
        </w:tc>
      </w:tr>
      <w:tr>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Profitability</w:t>
            </w:r>
          </w:p>
        </w:tc>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Revenue per AUM (bps)</w:t>
            </w:r>
          </w:p>
        </w:tc>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44 bps</w:t>
            </w:r>
          </w:p>
        </w:tc>
        <w:tc>
          <w:tcPr>
            <w:tcW w:type="dxa" w:w="18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40-50 bps</w:t>
            </w:r>
          </w:p>
        </w:tc>
        <w:tc>
          <w:tcPr>
            <w:tcW w:type="dxa" w:w="23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Quarterly calculation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Efficiency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Days to Close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 days (est.)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 days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Close calendar tracking</w:t>
            </w:r>
          </w:p>
        </w:tc>
      </w:tr>
      <w:tr>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Efficiency</w:t>
            </w:r>
          </w:p>
        </w:tc>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Cost per Transaction</w:t>
            </w:r>
          </w:p>
        </w:tc>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TBD</w:t>
            </w:r>
          </w:p>
        </w:tc>
        <w:tc>
          <w:tcPr>
            <w:tcW w:type="dxa" w:w="18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&lt;$5.00</w:t>
            </w:r>
          </w:p>
        </w:tc>
        <w:tc>
          <w:tcPr>
            <w:tcW w:type="dxa" w:w="23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AP/AR transaction analysis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Compliance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SOX Control Exceptions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TBD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Zero material weaknesses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Annual SOX audit</w:t>
            </w:r>
          </w:p>
        </w:tc>
      </w:tr>
      <w:tr>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Compliance</w:t>
            </w:r>
          </w:p>
        </w:tc>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Regulatory Filing Timeliness</w:t>
            </w:r>
          </w:p>
        </w:tc>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w:t>
            </w:r>
          </w:p>
        </w:tc>
        <w:tc>
          <w:tcPr>
            <w:tcW w:type="dxa" w:w="18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w:t>
            </w:r>
          </w:p>
        </w:tc>
        <w:tc>
          <w:tcPr>
            <w:tcW w:type="dxa" w:w="23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Filing calendar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Client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Client Retention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&gt;90%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&gt;95%</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Annual client review</w:t>
            </w:r>
          </w:p>
        </w:tc>
      </w:tr>
      <w:tr>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Talent</w:t>
            </w:r>
          </w:p>
        </w:tc>
        <w:tc>
          <w:tcPr>
            <w:tcW w:type="dxa" w:w="22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Finance FTEs per $1B AUM</w:t>
            </w:r>
          </w:p>
        </w:tc>
        <w:tc>
          <w:tcPr>
            <w:tcW w:type="dxa" w:w="15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TBD</w:t>
            </w:r>
          </w:p>
        </w:tc>
        <w:tc>
          <w:tcPr>
            <w:tcW w:type="dxa" w:w="180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&lt;3.0</w:t>
            </w:r>
          </w:p>
        </w:tc>
        <w:tc>
          <w:tcPr>
            <w:tcW w:type="dxa" w:w="2360"/>
            <w:tcBorders>
              <w:top w:val="single" w:color="CCCCCC" w:sz="1"/>
              <w:left w:val="single" w:color="CCCCCC" w:sz="1"/>
              <w:bottom w:val="single" w:color="CCCCCC" w:sz="1"/>
              <w:right w:val="single" w:color="CCCCCC" w:sz="1"/>
            </w:tcBorders>
            <w:shd w:fill="F2F0ED"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HR / Finance analysis</w:t>
            </w:r>
          </w:p>
        </w:tc>
      </w:tr>
    </w:tbl>
    <w:p>
      <w:pPr>
        <w:pBdr>
          <w:bottom w:val="single" w:color="D4A853" w:sz="3" w:space="1"/>
        </w:pBdr>
        <w:spacing w:after="200" w:before="200"/>
      </w:pPr>
    </w:p>
    <w:p>
      <w:pPr>
        <w:spacing w:after="120"/>
      </w:pPr>
      <w:r>
        <w:rPr>
          <w:rFonts w:ascii="Arial" w:cs="Arial" w:eastAsia="Arial" w:hAnsi="Arial"/>
          <w:color w:val="333333"/>
          <w:sz w:val="22"/>
          <w:szCs w:val="22"/>
        </w:rPr>
        <w:t xml:space="preserve"/>
      </w:r>
    </w:p>
    <w:p>
      <w:pPr>
        <w:spacing w:after="120"/>
      </w:pPr>
      <w:r>
        <w:rPr>
          <w:rFonts w:ascii="Arial" w:cs="Arial" w:eastAsia="Arial" w:hAnsi="Arial"/>
          <w:b/>
          <w:bCs/>
          <w:color w:val="333333"/>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000"/>
        <w:gridCol w:w="2360"/>
      </w:tblGrid>
      <w:tr>
        <w:tc>
          <w:tcPr>
            <w:tcW w:type="dxa" w:w="15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Version</w:t>
            </w:r>
          </w:p>
        </w:tc>
        <w:tc>
          <w:tcPr>
            <w:tcW w:type="dxa" w:w="25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00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2360"/>
            <w:tcBorders>
              <w:top w:val="single" w:color="CCCCCC" w:sz="1"/>
              <w:left w:val="single" w:color="CCCCCC" w:sz="1"/>
              <w:bottom w:val="single" w:color="CCCCCC" w:sz="1"/>
              <w:right w:val="single" w:color="CCCCCC" w:sz="1"/>
            </w:tcBorders>
            <w:shd w:fill="2E6B6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March 2026</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Finance Transformation Team</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Draft for Review</w:t>
            </w:r>
          </w:p>
        </w:tc>
      </w:tr>
    </w:tbl>
    <w:p>
      <w:pPr>
        <w:spacing w:after="120"/>
      </w:pPr>
      <w:r>
        <w:rPr>
          <w:rFonts w:ascii="Arial" w:cs="Arial" w:eastAsia="Arial" w:hAnsi="Arial"/>
          <w:color w:val="333333"/>
          <w:sz w:val="22"/>
          <w:szCs w:val="22"/>
        </w:rPr>
        <w:t xml:space="preserve"/>
      </w:r>
    </w:p>
    <w:p>
      <w:pPr>
        <w:spacing w:after="120"/>
      </w:pPr>
      <w:r>
        <w:rPr>
          <w:rFonts w:ascii="Arial" w:cs="Arial" w:eastAsia="Arial" w:hAnsi="Arial"/>
          <w:color w:val="333333"/>
          <w:sz w:val="22"/>
          <w:szCs w:val="22"/>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1"/>
      </w:pBdr>
      <w:jc w:val="center"/>
    </w:pPr>
    <w:r>
      <w:rPr>
        <w:rFonts w:ascii="Arial" w:cs="Arial" w:eastAsia="Arial" w:hAnsi="Arial"/>
        <w:color w:val="333333"/>
        <w:sz w:val="16"/>
        <w:szCs w:val="16"/>
      </w:rPr>
      <w:t xml:space="preserve">Confidential | 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B62" w:sz="3" w:space="1"/>
      </w:pBdr>
    </w:pPr>
    <w:r>
      <w:rPr>
        <w:rFonts w:ascii="Arial" w:cs="Arial" w:eastAsia="Arial" w:hAnsi="Arial"/>
        <w:i/>
        <w:iCs/>
        <w:color w:val="2E6B62"/>
        <w:sz w:val="18"/>
        <w:szCs w:val="18"/>
      </w:rPr>
      <w:t xml:space="preserve">Sprott Inc. | Oracle ERP Cloud Implementation Input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6B6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A8F8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2026-04-01T01:20:35.654Z</dcterms:created>
  <dcterms:modified xsi:type="dcterms:W3CDTF">2026-04-01T01:20:35.655Z</dcterms:modified>
</cp:coreProperties>
</file>

<file path=docProps/custom.xml><?xml version="1.0" encoding="utf-8"?>
<Properties xmlns="http://schemas.openxmlformats.org/officeDocument/2006/custom-properties" xmlns:vt="http://schemas.openxmlformats.org/officeDocument/2006/docPropsVTypes"/>
</file>