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5715000" cy="1905000"/>
            <wp:effectExtent b="0" l="0" r="0" t="0"/>
            <wp:docPr descr="oie_4Ojz6gneEaFt.png" id="1" name="image01.png"/>
            <a:graphic>
              <a:graphicData uri="http://schemas.openxmlformats.org/drawingml/2006/picture">
                <pic:pic>
                  <pic:nvPicPr>
                    <pic:cNvPr descr="oie_4Ojz6gneEaFt.png" id="0" name="image01.png"/>
                    <pic:cNvPicPr preferRelativeResize="0"/>
                  </pic:nvPicPr>
                  <pic:blipFill>
                    <a:blip r:embed="rId6"/>
                    <a:srcRect b="0" l="0" r="0" t="0"/>
                    <a:stretch>
                      <a:fillRect/>
                    </a:stretch>
                  </pic:blipFill>
                  <pic:spPr>
                    <a:xfrm>
                      <a:off x="0" y="0"/>
                      <a:ext cx="5715000" cy="1905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rtl w:val="0"/>
        </w:rPr>
        <w:t xml:space="preserve">LINGUAGENS FORMAIS: </w:t>
      </w:r>
    </w:p>
    <w:p w:rsidR="00000000" w:rsidDel="00000000" w:rsidP="00000000" w:rsidRDefault="00000000" w:rsidRPr="00000000">
      <w:pPr>
        <w:spacing w:line="240" w:lineRule="auto"/>
        <w:contextualSpacing w:val="0"/>
        <w:jc w:val="center"/>
      </w:pPr>
      <w:r w:rsidDel="00000000" w:rsidR="00000000" w:rsidRPr="00000000">
        <w:rPr>
          <w:rtl w:val="0"/>
        </w:rPr>
        <w:t xml:space="preserve">Especificação e Implementação de um Analisador Léxico-Sintático</w:t>
      </w:r>
    </w:p>
    <w:p w:rsidR="00000000" w:rsidDel="00000000" w:rsidP="00000000" w:rsidRDefault="00000000" w:rsidRPr="00000000">
      <w:pPr>
        <w:spacing w:line="240" w:lineRule="auto"/>
        <w:contextualSpacing w:val="0"/>
        <w:jc w:val="center"/>
      </w:pPr>
      <w:r w:rsidDel="00000000" w:rsidR="00000000" w:rsidRPr="00000000">
        <w:rPr>
          <w:rtl w:val="0"/>
        </w:rPr>
        <w:t xml:space="preserve">Rafael Silveira, Pablo Margreff e Letícia Sampaio</w:t>
      </w:r>
    </w:p>
    <w:p w:rsidR="00000000" w:rsidDel="00000000" w:rsidP="00000000" w:rsidRDefault="00000000" w:rsidRPr="00000000">
      <w:pPr>
        <w:spacing w:line="240" w:lineRule="auto"/>
        <w:contextualSpacing w:val="0"/>
        <w:jc w:val="center"/>
      </w:pPr>
      <w:r w:rsidDel="00000000" w:rsidR="00000000" w:rsidRPr="00000000">
        <w:rPr>
          <w:rtl w:val="0"/>
        </w:rPr>
        <w:t xml:space="preserve">{rsilveira,pmargreff,lsampaio}@inf.ufpel.edu.br</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1. INTRODUÇÃO</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highlight w:val="white"/>
          <w:rtl w:val="0"/>
        </w:rPr>
        <w:t xml:space="preserve"> </w:t>
        <w:tab/>
        <w:t xml:space="preserve">O Análisador léxico é o programa encarregado do processo de analisar a entrada de caracteres e produzir uma seqüência de símbolos chamado "símbolos léxicos" (tokens), que podem ser manipulados mais facilmente pelo analisador sintático.</w:t>
      </w:r>
      <w:r w:rsidDel="00000000" w:rsidR="00000000" w:rsidRPr="00000000">
        <w:rPr>
          <w:rtl w:val="0"/>
        </w:rPr>
      </w:r>
    </w:p>
    <w:p w:rsidR="00000000" w:rsidDel="00000000" w:rsidP="00000000" w:rsidRDefault="00000000" w:rsidRPr="00000000">
      <w:pPr>
        <w:spacing w:after="120" w:before="120" w:line="240" w:lineRule="auto"/>
        <w:ind w:firstLine="720"/>
        <w:contextualSpacing w:val="0"/>
        <w:jc w:val="both"/>
      </w:pPr>
      <w:r w:rsidDel="00000000" w:rsidR="00000000" w:rsidRPr="00000000">
        <w:rPr>
          <w:color w:val="252525"/>
          <w:highlight w:val="white"/>
          <w:rtl w:val="0"/>
        </w:rPr>
        <w:t xml:space="preserve">Já o Analisador Sintático (</w:t>
      </w:r>
      <w:r w:rsidDel="00000000" w:rsidR="00000000" w:rsidRPr="00000000">
        <w:rPr>
          <w:i w:val="1"/>
          <w:color w:val="252525"/>
          <w:highlight w:val="white"/>
          <w:rtl w:val="0"/>
        </w:rPr>
        <w:t xml:space="preserve">parsing</w:t>
      </w:r>
      <w:r w:rsidDel="00000000" w:rsidR="00000000" w:rsidRPr="00000000">
        <w:rPr>
          <w:color w:val="252525"/>
          <w:highlight w:val="white"/>
          <w:rtl w:val="0"/>
        </w:rPr>
        <w:t xml:space="preserve">) é o programa encarregado do processo de analisar uma sequência de simbolos de entrada (obtidos do léxico) para determinar sua estrutura gramatical segundo uma determinada gramática formal. Essa análise faz parte de um compilador, junto com o análisador léxico e  semântico.</w:t>
      </w:r>
    </w:p>
    <w:p w:rsidR="00000000" w:rsidDel="00000000" w:rsidP="00000000" w:rsidRDefault="00000000" w:rsidRPr="00000000">
      <w:pPr>
        <w:spacing w:line="276"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2. METODOLOGIA</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after="120" w:before="120" w:line="276" w:lineRule="auto"/>
        <w:ind w:firstLine="720"/>
        <w:contextualSpacing w:val="0"/>
        <w:jc w:val="both"/>
      </w:pPr>
      <w:r w:rsidDel="00000000" w:rsidR="00000000" w:rsidRPr="00000000">
        <w:rPr>
          <w:highlight w:val="white"/>
          <w:rtl w:val="0"/>
        </w:rPr>
        <w:t xml:space="preserve">Primeiramente, foi desenvolvido o autômato finito</w:t>
      </w:r>
      <w:r w:rsidDel="00000000" w:rsidR="00000000" w:rsidRPr="00000000">
        <w:rPr>
          <w:highlight w:val="white"/>
          <w:rtl w:val="0"/>
        </w:rPr>
        <w:t xml:space="preserve"> com uso da ferramenta Jflap</w:t>
      </w:r>
      <w:r w:rsidDel="00000000" w:rsidR="00000000" w:rsidRPr="00000000">
        <w:rPr>
          <w:highlight w:val="white"/>
          <w:rtl w:val="0"/>
        </w:rPr>
        <w:t xml:space="preserve">, o qual especifica o analisador léxico de acordo com a linguagem solicitada para este trabalho. Logo após, foi escolhida a linguagem de programação Python</w:t>
      </w:r>
      <w:r w:rsidDel="00000000" w:rsidR="00000000" w:rsidRPr="00000000">
        <w:rPr>
          <w:highlight w:val="white"/>
          <w:vertAlign w:val="superscript"/>
          <w:rtl w:val="0"/>
        </w:rPr>
        <w:t xml:space="preserve">1</w:t>
      </w:r>
      <w:r w:rsidDel="00000000" w:rsidR="00000000" w:rsidRPr="00000000">
        <w:rPr>
          <w:highlight w:val="white"/>
          <w:rtl w:val="0"/>
        </w:rPr>
        <w:t xml:space="preserve">, por conta de sua alta abstração e baixa curva de aprendizagem. Após a escolha da linguagem de programação, foi transcrito todo o autômato finito para código, com auxílio da ferramenta de controle de versão Git.</w:t>
      </w:r>
    </w:p>
    <w:p w:rsidR="00000000" w:rsidDel="00000000" w:rsidP="00000000" w:rsidRDefault="00000000" w:rsidRPr="00000000">
      <w:pPr>
        <w:spacing w:after="120" w:before="120" w:line="276" w:lineRule="auto"/>
        <w:ind w:firstLine="720"/>
        <w:contextualSpacing w:val="0"/>
        <w:jc w:val="both"/>
      </w:pPr>
      <w:r w:rsidDel="00000000" w:rsidR="00000000" w:rsidRPr="00000000">
        <w:rPr>
          <w:highlight w:val="white"/>
          <w:rtl w:val="0"/>
        </w:rPr>
        <w:t xml:space="preserve">Ao fim do desenvolvimento da primeira parte do trabalho, inciou-se os testes com diversos tipos de entradas de dados. </w:t>
      </w:r>
      <w:r w:rsidDel="00000000" w:rsidR="00000000" w:rsidRPr="00000000">
        <w:rPr>
          <w:color w:val="252525"/>
          <w:highlight w:val="white"/>
          <w:rtl w:val="0"/>
        </w:rPr>
        <w:t xml:space="preserve">A segunda parte do trabalho, foi desenvolver a gramática livre de contexto, que é a principal parte do  analisador sintático. Por fim, foram integrados e testados os códigos das duas partes do trabalho e criada uma interface gráfica, ilustrado na Figura 1.</w:t>
      </w:r>
    </w:p>
    <w:p w:rsidR="00000000" w:rsidDel="00000000" w:rsidP="00000000" w:rsidRDefault="00000000" w:rsidRPr="00000000">
      <w:pPr>
        <w:spacing w:after="120" w:before="12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120" w:before="120" w:line="276" w:lineRule="auto"/>
        <w:ind w:left="0" w:firstLine="0"/>
        <w:contextualSpacing w:val="0"/>
        <w:jc w:val="both"/>
      </w:pPr>
      <w:r w:rsidDel="00000000" w:rsidR="00000000" w:rsidRPr="00000000">
        <w:rPr>
          <w:color w:val="252525"/>
          <w:highlight w:val="white"/>
          <w:vertAlign w:val="superscript"/>
        </w:rPr>
        <w:footnoteReference w:customMarkFollows="0" w:id="0"/>
      </w:r>
      <w:r w:rsidDel="00000000" w:rsidR="00000000" w:rsidRPr="00000000">
        <w:rPr>
          <w:rtl w:val="0"/>
        </w:rPr>
      </w:r>
    </w:p>
    <w:p w:rsidR="00000000" w:rsidDel="00000000" w:rsidP="00000000" w:rsidRDefault="00000000" w:rsidRPr="00000000">
      <w:pPr>
        <w:spacing w:after="120" w:before="12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120" w:before="120" w:line="276" w:lineRule="auto"/>
        <w:ind w:left="0" w:firstLine="0"/>
        <w:contextualSpacing w:val="0"/>
        <w:jc w:val="both"/>
      </w:pPr>
      <w:r w:rsidDel="00000000" w:rsidR="00000000" w:rsidRPr="00000000">
        <w:rPr>
          <w:b w:val="1"/>
          <w:color w:val="252525"/>
          <w:highlight w:val="white"/>
          <w:rtl w:val="0"/>
        </w:rPr>
        <w:t xml:space="preserve">3. AUTÔMATO FINITO</w:t>
      </w:r>
    </w:p>
    <w:p w:rsidR="00000000" w:rsidDel="00000000" w:rsidP="00000000" w:rsidRDefault="00000000" w:rsidRPr="00000000">
      <w:pPr>
        <w:spacing w:after="120" w:before="120" w:line="276" w:lineRule="auto"/>
        <w:ind w:left="0" w:firstLine="0"/>
        <w:contextualSpacing w:val="0"/>
        <w:jc w:val="center"/>
      </w:pPr>
      <w:r w:rsidDel="00000000" w:rsidR="00000000" w:rsidRPr="00000000">
        <w:drawing>
          <wp:inline distB="114300" distT="114300" distL="114300" distR="114300">
            <wp:extent cx="5110163" cy="7796274"/>
            <wp:effectExtent b="0" l="0" r="0" t="0"/>
            <wp:docPr descr="automato.jpg" id="2" name="image03.jpg"/>
            <a:graphic>
              <a:graphicData uri="http://schemas.openxmlformats.org/drawingml/2006/picture">
                <pic:pic>
                  <pic:nvPicPr>
                    <pic:cNvPr descr="automato.jpg" id="0" name="image03.jpg"/>
                    <pic:cNvPicPr preferRelativeResize="0"/>
                  </pic:nvPicPr>
                  <pic:blipFill>
                    <a:blip r:embed="rId7"/>
                    <a:srcRect b="0" l="0" r="29518" t="48559"/>
                    <a:stretch>
                      <a:fillRect/>
                    </a:stretch>
                  </pic:blipFill>
                  <pic:spPr>
                    <a:xfrm>
                      <a:off x="0" y="0"/>
                      <a:ext cx="5110163" cy="7796274"/>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120" w:before="120" w:line="276" w:lineRule="auto"/>
        <w:ind w:left="0" w:firstLine="0"/>
        <w:contextualSpacing w:val="0"/>
        <w:jc w:val="both"/>
      </w:pPr>
      <w:r w:rsidDel="00000000" w:rsidR="00000000" w:rsidRPr="00000000">
        <w:rPr>
          <w:b w:val="1"/>
          <w:color w:val="252525"/>
          <w:highlight w:val="white"/>
          <w:rtl w:val="0"/>
        </w:rPr>
        <w:t xml:space="preserve">3. TABELA DE EQUIVALÊNCIA</w:t>
      </w:r>
    </w:p>
    <w:p w:rsidR="00000000" w:rsidDel="00000000" w:rsidP="00000000" w:rsidRDefault="00000000" w:rsidRPr="00000000">
      <w:pPr>
        <w:spacing w:after="120" w:before="120" w:line="276" w:lineRule="auto"/>
        <w:ind w:left="0" w:firstLine="0"/>
        <w:contextualSpacing w:val="0"/>
        <w:jc w:val="both"/>
      </w:pPr>
      <w:r w:rsidDel="00000000" w:rsidR="00000000" w:rsidRPr="00000000">
        <w:rPr>
          <w:rtl w:val="0"/>
        </w:rPr>
      </w:r>
    </w:p>
    <w:tbl>
      <w:tblPr>
        <w:tblStyle w:val="Table1"/>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
        <w:gridCol w:w="3324"/>
        <w:gridCol w:w="3324"/>
        <w:tblGridChange w:id="0">
          <w:tblGrid>
            <w:gridCol w:w="3324"/>
            <w:gridCol w:w="3324"/>
            <w:gridCol w:w="3324"/>
          </w:tblGrid>
        </w:tblGridChange>
      </w:tblGrid>
      <w:tr>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rtl w:val="0"/>
              </w:rPr>
              <w:t xml:space="preserve">SÍMBOLO</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rtl w:val="0"/>
              </w:rPr>
              <w:t xml:space="preserve">SIGNIFICADO</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rtl w:val="0"/>
              </w:rPr>
              <w:t xml:space="preserve">TOKEN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Negação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NOT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Conjunção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Disjunção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Implicação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IMP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&lt;-&gt;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Equivalência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EQU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Atribuição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ATR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Vírgula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VIR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Chave Esquerda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CHE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Chave Direita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CHD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Print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Print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PRI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Read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Read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REA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EOF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Fim de Arquivo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EOF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Parênteses Esquerdo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PAE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Parênteses Direito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Ponto e Vírgula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PTV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nsolas" w:cs="Consolas" w:eastAsia="Consolas" w:hAnsi="Consolas"/>
                <w:color w:val="333333"/>
                <w:sz w:val="18"/>
                <w:highlight w:val="white"/>
                <w:rtl w:val="0"/>
              </w:rPr>
              <w:t xml:space="preserve">[0] U [F] U [False]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Falso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FAL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nsolas" w:cs="Consolas" w:eastAsia="Consolas" w:hAnsi="Consolas"/>
                <w:color w:val="333333"/>
                <w:sz w:val="18"/>
                <w:highlight w:val="white"/>
                <w:rtl w:val="0"/>
              </w:rPr>
              <w:t xml:space="preserve">[1] U [T] U [True]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Verdadeiro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TRU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nsolas" w:cs="Consolas" w:eastAsia="Consolas" w:hAnsi="Consolas"/>
                <w:color w:val="333333"/>
                <w:sz w:val="18"/>
                <w:highlight w:val="white"/>
                <w:rtl w:val="0"/>
              </w:rPr>
              <w:t xml:space="preserve">[a-z] U [A-Z] U [0-9]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Variável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VAR</w:t>
            </w:r>
          </w:p>
        </w:tc>
      </w:tr>
    </w:tbl>
    <w:p w:rsidR="00000000" w:rsidDel="00000000" w:rsidP="00000000" w:rsidRDefault="00000000" w:rsidRPr="00000000">
      <w:pPr>
        <w:spacing w:after="120" w:before="120" w:line="276"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4. GRAMÁTICA LIVRE DE CONTEXTO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 = (A,B,P,S).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 { EXP, V1, V2, SE, SEN, COM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 = { VAR, NOT, AND, OR, IMP, EQU, ATR, VIR, CHE, CHD, PRI, REA, EOF, PAE, PAD, PTV, FAL, TRU, IF, ELS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S → VAR ATR EXP PTV (Atribuição)</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S → PRI EXP PTV (Print)</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S → READ V1 PTV  (Read)</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S → SE </w:t>
        <w:tab/>
        <w:t xml:space="preserve">(If)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(Expressão)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EXP → CHD EXP CHD</w:t>
      </w:r>
      <w:r w:rsidDel="00000000" w:rsidR="00000000" w:rsidRPr="00000000">
        <w:rPr>
          <w:rtl w:val="0"/>
        </w:rPr>
        <w:t xml:space="preserve"> </w:t>
      </w: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EXP → </w:t>
      </w:r>
      <w:r w:rsidDel="00000000" w:rsidR="00000000" w:rsidRPr="00000000">
        <w:rPr>
          <w:highlight w:val="white"/>
          <w:rtl w:val="0"/>
        </w:rPr>
        <w:t xml:space="preserve">EXP EQU EXP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EXP → </w:t>
      </w:r>
      <w:r w:rsidDel="00000000" w:rsidR="00000000" w:rsidRPr="00000000">
        <w:rPr>
          <w:highlight w:val="white"/>
          <w:rtl w:val="0"/>
        </w:rPr>
        <w:t xml:space="preserve">EXP IMP EXP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EXP → </w:t>
      </w:r>
      <w:r w:rsidDel="00000000" w:rsidR="00000000" w:rsidRPr="00000000">
        <w:rPr>
          <w:highlight w:val="white"/>
          <w:rtl w:val="0"/>
        </w:rPr>
        <w:t xml:space="preserve"> EXP OR EXP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EXP → </w:t>
      </w:r>
      <w:r w:rsidDel="00000000" w:rsidR="00000000" w:rsidRPr="00000000">
        <w:rPr>
          <w:highlight w:val="white"/>
          <w:rtl w:val="0"/>
        </w:rPr>
        <w:t xml:space="preserve">EXP AND EXP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EXP → </w:t>
      </w:r>
      <w:r w:rsidDel="00000000" w:rsidR="00000000" w:rsidRPr="00000000">
        <w:rPr>
          <w:highlight w:val="white"/>
          <w:rtl w:val="0"/>
        </w:rPr>
        <w:t xml:space="preserve">V1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EXP → </w:t>
      </w:r>
      <w:r w:rsidDel="00000000" w:rsidR="00000000" w:rsidRPr="00000000">
        <w:rPr>
          <w:highlight w:val="white"/>
          <w:rtl w:val="0"/>
        </w:rPr>
        <w:t xml:space="preserve">NOT EXP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EXP → </w:t>
      </w:r>
      <w:r w:rsidDel="00000000" w:rsidR="00000000" w:rsidRPr="00000000">
        <w:rPr>
          <w:highlight w:val="white"/>
          <w:rtl w:val="0"/>
        </w:rPr>
        <w:t xml:space="preserve"> TRU</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EXP → </w:t>
      </w:r>
      <w:r w:rsidDel="00000000" w:rsidR="00000000" w:rsidRPr="00000000">
        <w:rPr>
          <w:highlight w:val="white"/>
          <w:rtl w:val="0"/>
        </w:rPr>
        <w:t xml:space="preserve">FAL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(Variável)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V1 → V2</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V1 → </w:t>
        <w:tab/>
        <w:t xml:space="preserve">N NOT V1 </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V1 → VAR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N → N NOT</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N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(Variável com virgula)</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V2 → V1 VIR V1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(Condicional - SE)</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SE → IF PE EXP PD CHE COM CHD SEN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(Condicional - ELSE)</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SEN → ELS CHE COM CHD</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SEN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(Comandos)</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COM → EXP PTV COM            </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COM → SE COM</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COM → VAR </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COM → VAR ATR  EXP COM</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COM → REA V1 COM</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COM → PRI EXP COM</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COM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sz w:val="20"/>
          <w:rtl w:val="0"/>
        </w:rPr>
        <w:t xml:space="preserve"> </w:t>
      </w:r>
      <w:r w:rsidDel="00000000" w:rsidR="00000000" w:rsidRPr="00000000">
        <w:rPr>
          <w:b w:val="1"/>
          <w:i w:val="1"/>
          <w:sz w:val="20"/>
          <w:highlight w:val="white"/>
          <w:rtl w:val="0"/>
        </w:rPr>
        <w:t xml:space="preserve">Python</w:t>
      </w:r>
      <w:r w:rsidDel="00000000" w:rsidR="00000000" w:rsidRPr="00000000">
        <w:rPr>
          <w:sz w:val="20"/>
          <w:highlight w:val="white"/>
          <w:rtl w:val="0"/>
        </w:rPr>
        <w:t xml:space="preserve"> é uma </w:t>
      </w:r>
      <w:r w:rsidDel="00000000" w:rsidR="00000000" w:rsidRPr="00000000">
        <w:rPr>
          <w:sz w:val="20"/>
          <w:highlight w:val="white"/>
          <w:rtl w:val="0"/>
        </w:rPr>
        <w:t xml:space="preserve">linguagem de programação de alto nível,</w:t>
      </w:r>
      <w:r w:rsidDel="00000000" w:rsidR="00000000" w:rsidRPr="00000000">
        <w:rPr>
          <w:sz w:val="20"/>
          <w:highlight w:val="white"/>
          <w:rtl w:val="0"/>
        </w:rPr>
        <w:t xml:space="preserve">, </w:t>
      </w:r>
      <w:r w:rsidDel="00000000" w:rsidR="00000000" w:rsidRPr="00000000">
        <w:rPr>
          <w:sz w:val="20"/>
          <w:highlight w:val="white"/>
          <w:rtl w:val="0"/>
        </w:rPr>
        <w:t xml:space="preserve">interpretada</w:t>
      </w:r>
      <w:r w:rsidDel="00000000" w:rsidR="00000000" w:rsidRPr="00000000">
        <w:rPr>
          <w:sz w:val="20"/>
          <w:highlight w:val="white"/>
          <w:rtl w:val="0"/>
        </w:rPr>
        <w:t xml:space="preserve">, </w:t>
      </w:r>
      <w:r w:rsidDel="00000000" w:rsidR="00000000" w:rsidRPr="00000000">
        <w:rPr>
          <w:sz w:val="20"/>
          <w:highlight w:val="white"/>
          <w:rtl w:val="0"/>
        </w:rPr>
        <w:t xml:space="preserve">imperativa</w:t>
      </w:r>
      <w:r w:rsidDel="00000000" w:rsidR="00000000" w:rsidRPr="00000000">
        <w:rPr>
          <w:sz w:val="20"/>
          <w:highlight w:val="white"/>
          <w:rtl w:val="0"/>
        </w:rPr>
        <w:t xml:space="preserve">, </w:t>
      </w:r>
      <w:r w:rsidDel="00000000" w:rsidR="00000000" w:rsidRPr="00000000">
        <w:rPr>
          <w:sz w:val="20"/>
          <w:highlight w:val="white"/>
          <w:rtl w:val="0"/>
        </w:rPr>
        <w:t xml:space="preserve">orientada a objetos</w:t>
      </w:r>
      <w:r w:rsidDel="00000000" w:rsidR="00000000" w:rsidRPr="00000000">
        <w:rPr>
          <w:sz w:val="20"/>
          <w:highlight w:val="white"/>
          <w:rtl w:val="0"/>
        </w:rPr>
        <w:t xml:space="preserve">, </w:t>
      </w:r>
      <w:r w:rsidDel="00000000" w:rsidR="00000000" w:rsidRPr="00000000">
        <w:rPr>
          <w:sz w:val="20"/>
          <w:highlight w:val="white"/>
          <w:rtl w:val="0"/>
        </w:rPr>
        <w:t xml:space="preserve">funcional</w:t>
      </w:r>
      <w:r w:rsidDel="00000000" w:rsidR="00000000" w:rsidRPr="00000000">
        <w:rPr>
          <w:sz w:val="20"/>
          <w:highlight w:val="white"/>
          <w:rtl w:val="0"/>
        </w:rPr>
        <w:t xml:space="preserve">, de </w:t>
      </w:r>
      <w:r w:rsidDel="00000000" w:rsidR="00000000" w:rsidRPr="00000000">
        <w:rPr>
          <w:sz w:val="20"/>
          <w:highlight w:val="white"/>
          <w:rtl w:val="0"/>
        </w:rPr>
        <w:t xml:space="preserve">tipagem</w:t>
      </w:r>
      <w:r w:rsidDel="00000000" w:rsidR="00000000" w:rsidRPr="00000000">
        <w:rPr>
          <w:sz w:val="20"/>
          <w:highlight w:val="white"/>
          <w:rtl w:val="0"/>
        </w:rPr>
        <w:t xml:space="preserve"> dinâmica e forte. Foi lançada por </w:t>
      </w:r>
      <w:r w:rsidDel="00000000" w:rsidR="00000000" w:rsidRPr="00000000">
        <w:rPr>
          <w:sz w:val="20"/>
          <w:highlight w:val="white"/>
          <w:rtl w:val="0"/>
        </w:rPr>
        <w:t xml:space="preserve">Guido van Rossum</w:t>
      </w:r>
      <w:r w:rsidDel="00000000" w:rsidR="00000000" w:rsidRPr="00000000">
        <w:rPr>
          <w:sz w:val="20"/>
          <w:highlight w:val="white"/>
          <w:rtl w:val="0"/>
        </w:rPr>
        <w:t xml:space="preserve"> em </w:t>
      </w:r>
      <w:r w:rsidDel="00000000" w:rsidR="00000000" w:rsidRPr="00000000">
        <w:rPr>
          <w:sz w:val="20"/>
          <w:highlight w:val="white"/>
          <w:rtl w:val="0"/>
        </w:rPr>
        <w:t xml:space="preserve">1991</w:t>
      </w:r>
      <w:r w:rsidDel="00000000" w:rsidR="00000000" w:rsidRPr="00000000">
        <w:rPr>
          <w:sz w:val="20"/>
          <w:highlight w:val="white"/>
          <w:rtl w:val="0"/>
        </w:rPr>
        <w:t xml:space="preserve">.Atualmente possui um modelo de desenvolvimento comunitário, aberto e gerenciado pela </w:t>
      </w:r>
      <w:r w:rsidDel="00000000" w:rsidR="00000000" w:rsidRPr="00000000">
        <w:rPr>
          <w:sz w:val="20"/>
          <w:highlight w:val="white"/>
          <w:rtl w:val="0"/>
        </w:rPr>
        <w:t xml:space="preserve">organização sem fins lucrativos</w:t>
      </w:r>
      <w:r w:rsidDel="00000000" w:rsidR="00000000" w:rsidRPr="00000000">
        <w:rPr>
          <w:sz w:val="20"/>
          <w:highlight w:val="white"/>
          <w:rtl w:val="0"/>
        </w:rPr>
        <w:t xml:space="preserve"> </w:t>
      </w:r>
      <w:r w:rsidDel="00000000" w:rsidR="00000000" w:rsidRPr="00000000">
        <w:rPr>
          <w:sz w:val="20"/>
          <w:highlight w:val="white"/>
          <w:rtl w:val="0"/>
        </w:rPr>
        <w:t xml:space="preserve">Python Software Foundation</w:t>
      </w:r>
      <w:r w:rsidDel="00000000" w:rsidR="00000000" w:rsidRPr="00000000">
        <w:rPr>
          <w:sz w:val="20"/>
          <w:highlight w:val="white"/>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6" Type="http://schemas.openxmlformats.org/officeDocument/2006/relationships/image" Target="media/image01.png"/><Relationship Id="rId5" Type="http://schemas.openxmlformats.org/officeDocument/2006/relationships/styles" Target="styles.xml"/><Relationship Id="rId7" Type="http://schemas.openxmlformats.org/officeDocument/2006/relationships/image" Target="media/image03.jpg"/></Relationships>
</file>