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COGNIX</w:t>
        <w:br/>
      </w:r>
      <w:r>
        <w:rPr>
          <w:b/>
          <w:sz w:val="42"/>
        </w:rPr>
        <w:t>Problem Statement &amp; Strategic Road Map</w:t>
      </w:r>
    </w:p>
    <w:p>
      <w:pPr>
        <w:jc w:val="center"/>
      </w:pPr>
      <w:r>
        <w:rPr>
          <w:i/>
        </w:rPr>
        <w:t>Cognitive Diagnostic AI • Evidence-driven learning diagnosis • Agent-a-Thon 2026</w:t>
      </w:r>
    </w:p>
    <w:p>
      <w:pPr>
        <w:pStyle w:val="Heading1"/>
      </w:pPr>
      <w:r>
        <w:t>Source Synthesis &amp; Design Direction</w:t>
      </w:r>
    </w:p>
    <w:p>
      <w:r>
        <w:t>This document consolidates the two supplied COGNIX source documents into one strategic specification. It preserves their central positioning: COGNIX is a diagnostic layer that investigates the underlying cause of a learner's difficulty before an intervention is selected. The design is expressed as a bounded, chronological state-machine workflow. No recursive agent logic, self-referential workflow, or unbounded reasoning pattern is used.</w:t>
      </w:r>
    </w:p>
    <w:p>
      <w:pPr>
        <w:pStyle w:val="Heading1"/>
      </w:pPr>
      <w:r>
        <w:t>1. Executive Summary &amp; Problem Statement</w:t>
      </w:r>
    </w:p>
    <w:p>
      <w:pPr>
        <w:pStyle w:val="Heading2"/>
      </w:pPr>
      <w:r>
        <w:t>The Core Challenge</w:t>
      </w:r>
    </w:p>
    <w:p>
      <w:r>
        <w:t>Students can identify that they are struggling without being able to identify the reason. The same visible failure can originate from different bottlenecks: incomplete conceptual understanding, knowledge or formula recall, poor method selection, question interpretation, calculation, concept integration, retrieval/explanation difficulty, ineffective learning methods, or academic workflow friction. COGNIX addresses the missing diagnostic layer between a learner's visible difficulty and the intervention that follows.</w:t>
      </w:r>
    </w:p>
    <w:p>
      <w:r>
        <w:t>The central problem is therefore: how can an AI system investigate competing explanations for an academic difficulty, select targeted checks that distinguish those explanations, treat the learner's response as evidence, change direction when evidence contradicts a hypothesis, retain established findings, and stop explicitly when the available evidence is insufficient or the diagnostic budget is exhausted?</w:t>
      </w:r>
    </w:p>
    <w:p>
      <w:pPr>
        <w:pStyle w:val="Heading2"/>
      </w:pPr>
      <w:r>
        <w:t>Current Limitations</w:t>
      </w:r>
    </w:p>
    <w:p>
      <w:pPr>
        <w:pStyle w:val="ListBullet"/>
      </w:pPr>
      <w:r>
        <w:t>Conventional AI assistance often responds directly to the visible failure by explaining a topic, generating notes, or supplying another solution.</w:t>
      </w:r>
    </w:p>
    <w:p>
      <w:pPr>
        <w:pStyle w:val="ListBullet"/>
      </w:pPr>
      <w:r>
        <w:t>A visible failure does not uniquely identify its underlying cause, so immediate intervention can address the wrong bottleneck.</w:t>
      </w:r>
    </w:p>
    <w:p>
      <w:pPr>
        <w:pStyle w:val="ListBullet"/>
      </w:pPr>
      <w:r>
        <w:t>A conversational response alone does not provide authoritative state, bounded transitions, evidence status, confirmation status, attempt limits, or reliable stopping behaviour.</w:t>
      </w:r>
    </w:p>
    <w:p>
      <w:pPr>
        <w:pStyle w:val="ListBullet"/>
      </w:pPr>
      <w:r>
        <w:t>Generic chat history is not equivalent to operational learner memory: COGNIX must retain what was established, rejected, left uncertain, and already tested.</w:t>
      </w:r>
    </w:p>
    <w:p>
      <w:pPr>
        <w:pStyle w:val="Heading2"/>
      </w:pPr>
      <w:r>
        <w:t>The Value Proposition</w:t>
      </w:r>
    </w:p>
    <w:p>
      <w:r>
        <w:t>A successful COGNIX deployment produces an evidence-backed diagnostic record rather than an unsupported guess. It makes the learner's current bottleneck explicit, shows the evidence behind that conclusion, allows the learner to confirm or reject it, preserves unresolved areas, and changes the next diagnostic action when the learner returns. The same controller can subsequently support multiple academic domains without rebuilding the diagnostic architecture.</w:t>
      </w:r>
    </w:p>
    <w:p>
      <w:pPr>
        <w:pStyle w:val="Heading1"/>
      </w:pPr>
      <w:r>
        <w:t>2. Comprehensive Model Explanation</w:t>
      </w:r>
    </w:p>
    <w:p>
      <w:pPr>
        <w:pStyle w:val="Heading2"/>
      </w:pPr>
      <w:r>
        <w:t>Agent Persona &amp; Core Objectives</w:t>
      </w:r>
    </w:p>
    <w:p>
      <w:r>
        <w:t>COGNIX is an evidence-driven Cognitive Diagnostic Agent for student learning. Its primary responsibility is investigation, not immediate tutoring. It observes a learner's problem, attempted work, self-reported difficulty and relevant diagnostic history; proposes bounded candidate causes; selects a useful diagnostic check; evaluates the resulting evidence; records the outcome; and produces a diagnosis only when the evidence supports one.</w:t>
      </w:r>
    </w:p>
    <w:p>
      <w:r>
        <w:t>Core objectives:</w:t>
      </w:r>
    </w:p>
    <w:p>
      <w:pPr>
        <w:pStyle w:val="ListBullet"/>
      </w:pPr>
      <w:r>
        <w:t>Distinguish competing explanations rather than accepting the learner's first description as the diagnosis.</w:t>
      </w:r>
    </w:p>
    <w:p>
      <w:pPr>
        <w:pStyle w:val="ListBullet"/>
      </w:pPr>
      <w:r>
        <w:t>Use targeted micro-assessments to obtain discriminating evidence.</w:t>
      </w:r>
    </w:p>
    <w:p>
      <w:pPr>
        <w:pStyle w:val="ListBullet"/>
      </w:pPr>
      <w:r>
        <w:t>Separate supporting, contradicting, and insufficient evidence.</w:t>
      </w:r>
    </w:p>
    <w:p>
      <w:pPr>
        <w:pStyle w:val="ListBullet"/>
      </w:pPr>
      <w:r>
        <w:t>Change the investigation when a hypothesis is contradicted.</w:t>
      </w:r>
    </w:p>
    <w:p>
      <w:pPr>
        <w:pStyle w:val="ListBullet"/>
      </w:pPr>
      <w:r>
        <w:t>Involve the learner in final confirmation.</w:t>
      </w:r>
    </w:p>
    <w:p>
      <w:pPr>
        <w:pStyle w:val="ListBullet"/>
      </w:pPr>
      <w:r>
        <w:t>Persist confirmed, rejected, uncertain, and untested findings.</w:t>
      </w:r>
    </w:p>
    <w:p>
      <w:pPr>
        <w:pStyle w:val="ListBullet"/>
      </w:pPr>
      <w:r>
        <w:t>Stop safely instead of manufacturing certainty.</w:t>
      </w:r>
    </w:p>
    <w:p>
      <w:pPr>
        <w:pStyle w:val="ListBullet"/>
      </w:pPr>
      <w:r>
        <w:t>Remain domain-independent at the controller level while allowing domain-specific hypotheses and checks.</w:t>
      </w:r>
    </w:p>
    <w:p>
      <w:pPr>
        <w:pStyle w:val="Heading2"/>
      </w:pPr>
      <w:r>
        <w:t>Operational Scope</w:t>
      </w:r>
    </w:p>
    <w:tbl>
      <w:tblPr>
        <w:tblStyle w:val="TableGrid"/>
        <w:tblW w:type="auto" w:w="0"/>
        <w:tblLook w:firstColumn="1" w:firstRow="1" w:lastColumn="0" w:lastRow="0" w:noHBand="0" w:noVBand="1" w:val="04A0"/>
      </w:tblPr>
      <w:tblGrid>
        <w:gridCol w:w="4968"/>
        <w:gridCol w:w="4968"/>
      </w:tblGrid>
      <w:tr>
        <w:tc>
          <w:tcPr>
            <w:tcW w:type="dxa" w:w="4968"/>
            <w:shd w:fill="EAF0F6"/>
          </w:tcPr>
          <w:p>
            <w:r>
              <w:rPr>
                <w:b/>
              </w:rPr>
              <w:t>Strictly in scope</w:t>
            </w:r>
          </w:p>
        </w:tc>
        <w:tc>
          <w:tcPr>
            <w:tcW w:type="dxa" w:w="4968"/>
            <w:shd w:fill="EAF0F6"/>
          </w:tcPr>
          <w:p>
            <w:r>
              <w:rPr>
                <w:b/>
              </w:rPr>
              <w:t>Strictly out of scope</w:t>
            </w:r>
          </w:p>
        </w:tc>
      </w:tr>
      <w:tr>
        <w:tc>
          <w:tcPr>
            <w:tcW w:type="dxa" w:w="4968"/>
          </w:tcPr>
          <w:p>
            <w:r>
              <w:t>Student problem, attempt, self-reported difficulty and relevant diagnostic history</w:t>
            </w:r>
          </w:p>
        </w:tc>
        <w:tc>
          <w:tcPr>
            <w:tcW w:type="dxa" w:w="4968"/>
          </w:tcPr>
          <w:p>
            <w:r>
              <w:t>Full LMS or complete personalised curriculum</w:t>
            </w:r>
          </w:p>
        </w:tc>
      </w:tr>
      <w:tr>
        <w:tc>
          <w:tcPr>
            <w:tcW w:type="dxa" w:w="4968"/>
          </w:tcPr>
          <w:p>
            <w:r>
              <w:t>Bounded hypothesis generation and selection</w:t>
            </w:r>
          </w:p>
        </w:tc>
        <w:tc>
          <w:tcPr>
            <w:tcW w:type="dxa" w:w="4968"/>
          </w:tcPr>
          <w:p>
            <w:r>
              <w:t>General-purpose chatbot tutoring as the primary product</w:t>
            </w:r>
          </w:p>
        </w:tc>
      </w:tr>
      <w:tr>
        <w:tc>
          <w:tcPr>
            <w:tcW w:type="dxa" w:w="4968"/>
          </w:tcPr>
          <w:p>
            <w:r>
              <w:t>Targeted diagnostic questions / micro-assessments</w:t>
            </w:r>
          </w:p>
        </w:tc>
        <w:tc>
          <w:tcPr>
            <w:tcW w:type="dxa" w:w="4968"/>
          </w:tcPr>
          <w:p>
            <w:r>
              <w:t>Automated timetable generation</w:t>
            </w:r>
          </w:p>
        </w:tc>
      </w:tr>
      <w:tr>
        <w:tc>
          <w:tcPr>
            <w:tcW w:type="dxa" w:w="4968"/>
          </w:tcPr>
          <w:p>
            <w:r>
              <w:t>Evidence evaluation and diagnostic classification</w:t>
            </w:r>
          </w:p>
        </w:tc>
        <w:tc>
          <w:tcPr>
            <w:tcW w:type="dxa" w:w="4968"/>
          </w:tcPr>
          <w:p>
            <w:r>
              <w:t>Huge question bank as a core requirement</w:t>
            </w:r>
          </w:p>
        </w:tc>
      </w:tr>
      <w:tr>
        <w:tc>
          <w:tcPr>
            <w:tcW w:type="dxa" w:w="4968"/>
          </w:tcPr>
          <w:p>
            <w:r>
              <w:t>Learner confirmation or rejection</w:t>
            </w:r>
          </w:p>
        </w:tc>
        <w:tc>
          <w:tcPr>
            <w:tcW w:type="dxa" w:w="4968"/>
          </w:tcPr>
          <w:p>
            <w:r>
              <w:t>Long-term mastery prediction</w:t>
            </w:r>
          </w:p>
        </w:tc>
      </w:tr>
      <w:tr>
        <w:tc>
          <w:tcPr>
            <w:tcW w:type="dxa" w:w="4968"/>
          </w:tcPr>
          <w:p>
            <w:r>
              <w:t>Persistent diagnostic records and unresolved gaps</w:t>
            </w:r>
          </w:p>
        </w:tc>
        <w:tc>
          <w:tcPr>
            <w:tcW w:type="dxa" w:w="4968"/>
          </w:tcPr>
          <w:p>
            <w:r>
              <w:t>All academic subjects in the MVP</w:t>
            </w:r>
          </w:p>
        </w:tc>
      </w:tr>
      <w:tr>
        <w:tc>
          <w:tcPr>
            <w:tcW w:type="dxa" w:w="4968"/>
          </w:tcPr>
          <w:p>
            <w:r>
              <w:t>Deterministic state transitions, budgets and safe stopping</w:t>
            </w:r>
          </w:p>
        </w:tc>
        <w:tc>
          <w:tcPr>
            <w:tcW w:type="dxa" w:w="4968"/>
          </w:tcPr>
          <w:p>
            <w:r>
              <w:t>A large multi-agent ecosystem in the initial build</w:t>
            </w:r>
          </w:p>
        </w:tc>
      </w:tr>
      <w:tr>
        <w:tc>
          <w:tcPr>
            <w:tcW w:type="dxa" w:w="4968"/>
          </w:tcPr>
          <w:p>
            <w:r>
              <w:t>Expansion across knowledge, application, performance and learning-process dimensions</w:t>
            </w:r>
          </w:p>
        </w:tc>
        <w:tc>
          <w:tcPr>
            <w:tcW w:type="dxa" w:w="4968"/>
          </w:tcPr>
          <w:p>
            <w:r>
              <w:t>Complex retrieval architecture, voice assistant, social/community features</w:t>
            </w:r>
          </w:p>
        </w:tc>
      </w:tr>
    </w:tbl>
    <w:p/>
    <w:p>
      <w:pPr>
        <w:pStyle w:val="Heading2"/>
      </w:pPr>
      <w:r>
        <w:t>Diagnostic Dimensions</w:t>
      </w:r>
    </w:p>
    <w:tbl>
      <w:tblPr>
        <w:tblStyle w:val="TableGrid"/>
        <w:tblW w:type="auto" w:w="0"/>
        <w:tblLook w:firstColumn="1" w:firstRow="1" w:lastColumn="0" w:lastRow="0" w:noHBand="0" w:noVBand="1" w:val="04A0"/>
      </w:tblPr>
      <w:tblGrid>
        <w:gridCol w:w="4968"/>
        <w:gridCol w:w="4968"/>
      </w:tblGrid>
      <w:tr>
        <w:tc>
          <w:tcPr>
            <w:tcW w:type="dxa" w:w="4968"/>
            <w:shd w:fill="EAF0F6"/>
          </w:tcPr>
          <w:p>
            <w:r>
              <w:rPr>
                <w:b/>
              </w:rPr>
              <w:t>Dimension</w:t>
            </w:r>
          </w:p>
        </w:tc>
        <w:tc>
          <w:tcPr>
            <w:tcW w:type="dxa" w:w="4968"/>
            <w:shd w:fill="EAF0F6"/>
          </w:tcPr>
          <w:p>
            <w:r>
              <w:rPr>
                <w:b/>
              </w:rPr>
              <w:t>What it investigates</w:t>
            </w:r>
          </w:p>
        </w:tc>
      </w:tr>
      <w:tr>
        <w:tc>
          <w:tcPr>
            <w:tcW w:type="dxa" w:w="4968"/>
          </w:tcPr>
          <w:p>
            <w:r>
              <w:t>Knowledge</w:t>
            </w:r>
          </w:p>
        </w:tc>
        <w:tc>
          <w:tcPr>
            <w:tcW w:type="dxa" w:w="4968"/>
          </w:tcPr>
          <w:p>
            <w:r>
              <w:t>Concept gaps, forgotten knowledge, formula/definition recall, prerequisite gaps</w:t>
            </w:r>
          </w:p>
        </w:tc>
      </w:tr>
      <w:tr>
        <w:tc>
          <w:tcPr>
            <w:tcW w:type="dxa" w:w="4968"/>
          </w:tcPr>
          <w:p>
            <w:r>
              <w:t>Application</w:t>
            </w:r>
          </w:p>
        </w:tc>
        <w:tc>
          <w:tcPr>
            <w:tcW w:type="dxa" w:w="4968"/>
          </w:tcPr>
          <w:p>
            <w:r>
              <w:t>Applying known concepts, method selection, transfer, connecting multiple concepts</w:t>
            </w:r>
          </w:p>
        </w:tc>
      </w:tr>
      <w:tr>
        <w:tc>
          <w:tcPr>
            <w:tcW w:type="dxa" w:w="4968"/>
          </w:tcPr>
          <w:p>
            <w:r>
              <w:t>Performance</w:t>
            </w:r>
          </w:p>
        </w:tc>
        <w:tc>
          <w:tcPr>
            <w:tcW w:type="dxa" w:w="4968"/>
          </w:tcPr>
          <w:p>
            <w:r>
              <w:t>Repeated mistakes, calculation, interpretation, approach and time-related failures</w:t>
            </w:r>
          </w:p>
        </w:tc>
      </w:tr>
      <w:tr>
        <w:tc>
          <w:tcPr>
            <w:tcW w:type="dxa" w:w="4968"/>
          </w:tcPr>
          <w:p>
            <w:r>
              <w:t>Learning Process</w:t>
            </w:r>
          </w:p>
        </w:tc>
        <w:tc>
          <w:tcPr>
            <w:tcW w:type="dxa" w:w="4968"/>
          </w:tcPr>
          <w:p>
            <w:r>
              <w:t>Study method, resource mismatch, study friction, repeated failed attempts, explanation/retrieval</w:t>
            </w:r>
          </w:p>
        </w:tc>
      </w:tr>
      <w:tr>
        <w:tc>
          <w:tcPr>
            <w:tcW w:type="dxa" w:w="4968"/>
          </w:tcPr>
          <w:p>
            <w:r>
              <w:t>Academic Workflow</w:t>
            </w:r>
          </w:p>
        </w:tc>
        <w:tc>
          <w:tcPr>
            <w:tcW w:type="dxa" w:w="4968"/>
          </w:tcPr>
          <w:p>
            <w:r>
              <w:t>Prioritisation, overload, project bottlenecks and task dependencies</w:t>
            </w:r>
          </w:p>
        </w:tc>
      </w:tr>
    </w:tbl>
    <w:p/>
    <w:p>
      <w:pPr>
        <w:pStyle w:val="Heading2"/>
      </w:pPr>
      <w:r>
        <w:t>MVP Boundary</w:t>
      </w:r>
    </w:p>
    <w:p>
      <w:r>
        <w:t>The hackathon implementation should remain deliberately narrow. The source documents establish a small, controlled demonstration domain in programming and a second problem-solving domain in Mathematics/Physics. The architectural proof is more important than broad feature coverage: the MVP must demonstrate that the system can select a hypothesis, test it, evaluate evidence, change direction when required, confirm a diagnosis, persist state and stop safely.</w:t>
      </w:r>
    </w:p>
    <w:p>
      <w:pPr>
        <w:pStyle w:val="Heading1"/>
      </w:pPr>
      <w:r>
        <w:t>3. Functional Architecture (Non-Recursive)</w:t>
      </w:r>
    </w:p>
    <w:p>
      <w:pPr>
        <w:pStyle w:val="Heading2"/>
      </w:pPr>
      <w:r>
        <w:t>Structural Components</w:t>
      </w:r>
    </w:p>
    <w:tbl>
      <w:tblPr>
        <w:tblStyle w:val="TableGrid"/>
        <w:tblW w:type="auto" w:w="0"/>
        <w:tblLook w:firstColumn="1" w:firstRow="1" w:lastColumn="0" w:lastRow="0" w:noHBand="0" w:noVBand="1" w:val="04A0"/>
      </w:tblPr>
      <w:tblGrid>
        <w:gridCol w:w="3312"/>
        <w:gridCol w:w="3312"/>
        <w:gridCol w:w="3312"/>
      </w:tblGrid>
      <w:tr>
        <w:tc>
          <w:tcPr>
            <w:tcW w:type="dxa" w:w="3312"/>
            <w:shd w:fill="EAF0F6"/>
          </w:tcPr>
          <w:p>
            <w:r>
              <w:rPr>
                <w:b/>
              </w:rPr>
              <w:t>Layer / Component</w:t>
            </w:r>
          </w:p>
        </w:tc>
        <w:tc>
          <w:tcPr>
            <w:tcW w:type="dxa" w:w="3312"/>
            <w:shd w:fill="EAF0F6"/>
          </w:tcPr>
          <w:p>
            <w:r>
              <w:rPr>
                <w:b/>
              </w:rPr>
              <w:t>Responsibility</w:t>
            </w:r>
          </w:p>
        </w:tc>
        <w:tc>
          <w:tcPr>
            <w:tcW w:type="dxa" w:w="3312"/>
            <w:shd w:fill="EAF0F6"/>
          </w:tcPr>
          <w:p>
            <w:r>
              <w:rPr>
                <w:b/>
              </w:rPr>
              <w:t>Authority</w:t>
            </w:r>
          </w:p>
        </w:tc>
      </w:tr>
      <w:tr>
        <w:tc>
          <w:tcPr>
            <w:tcW w:type="dxa" w:w="3312"/>
          </w:tcPr>
          <w:p>
            <w:r>
              <w:t>Student Interface</w:t>
            </w:r>
          </w:p>
        </w:tc>
        <w:tc>
          <w:tcPr>
            <w:tcW w:type="dxa" w:w="3312"/>
          </w:tcPr>
          <w:p>
            <w:r>
              <w:t>Collect problem, attempt, self-reported difficulty, uploads and confirmation</w:t>
            </w:r>
          </w:p>
        </w:tc>
        <w:tc>
          <w:tcPr>
            <w:tcW w:type="dxa" w:w="3312"/>
          </w:tcPr>
          <w:p>
            <w:r>
              <w:t>User-facing</w:t>
            </w:r>
          </w:p>
        </w:tc>
      </w:tr>
      <w:tr>
        <w:tc>
          <w:tcPr>
            <w:tcW w:type="dxa" w:w="3312"/>
          </w:tcPr>
          <w:p>
            <w:r>
              <w:t>Input Normaliser</w:t>
            </w:r>
          </w:p>
        </w:tc>
        <w:tc>
          <w:tcPr>
            <w:tcW w:type="dxa" w:w="3312"/>
          </w:tcPr>
          <w:p>
            <w:r>
              <w:t>Convert incoming material into a structured diagnostic input</w:t>
            </w:r>
          </w:p>
        </w:tc>
        <w:tc>
          <w:tcPr>
            <w:tcW w:type="dxa" w:w="3312"/>
          </w:tcPr>
          <w:p>
            <w:r>
              <w:t>Deterministic</w:t>
            </w:r>
          </w:p>
        </w:tc>
      </w:tr>
      <w:tr>
        <w:tc>
          <w:tcPr>
            <w:tcW w:type="dxa" w:w="3312"/>
          </w:tcPr>
          <w:p>
            <w:r>
              <w:t>State Manager</w:t>
            </w:r>
          </w:p>
        </w:tc>
        <w:tc>
          <w:tcPr>
            <w:tcW w:type="dxa" w:w="3312"/>
          </w:tcPr>
          <w:p>
            <w:r>
              <w:t>Load prior evidence, diagnosis, unresolved gaps and prior checks</w:t>
            </w:r>
          </w:p>
        </w:tc>
        <w:tc>
          <w:tcPr>
            <w:tcW w:type="dxa" w:w="3312"/>
          </w:tcPr>
          <w:p>
            <w:r>
              <w:t>Deterministic</w:t>
            </w:r>
          </w:p>
        </w:tc>
      </w:tr>
      <w:tr>
        <w:tc>
          <w:tcPr>
            <w:tcW w:type="dxa" w:w="3312"/>
          </w:tcPr>
          <w:p>
            <w:r>
              <w:t>Diagnostic Controller</w:t>
            </w:r>
          </w:p>
        </w:tc>
        <w:tc>
          <w:tcPr>
            <w:tcW w:type="dxa" w:w="3312"/>
          </w:tcPr>
          <w:p>
            <w:r>
              <w:t>Own the state, transitions, budgets, confirmation and stopping</w:t>
            </w:r>
          </w:p>
        </w:tc>
        <w:tc>
          <w:tcPr>
            <w:tcW w:type="dxa" w:w="3312"/>
          </w:tcPr>
          <w:p>
            <w:r>
              <w:t>Deterministic / authoritative</w:t>
            </w:r>
          </w:p>
        </w:tc>
      </w:tr>
      <w:tr>
        <w:tc>
          <w:tcPr>
            <w:tcW w:type="dxa" w:w="3312"/>
          </w:tcPr>
          <w:p>
            <w:r>
              <w:t>Hypothesis Engine</w:t>
            </w:r>
          </w:p>
        </w:tc>
        <w:tc>
          <w:tcPr>
            <w:tcW w:type="dxa" w:w="3312"/>
          </w:tcPr>
          <w:p>
            <w:r>
              <w:t>Propose bounded candidate causes and a candidate next action</w:t>
            </w:r>
          </w:p>
        </w:tc>
        <w:tc>
          <w:tcPr>
            <w:tcW w:type="dxa" w:w="3312"/>
          </w:tcPr>
          <w:p>
            <w:r>
              <w:t>AI suggestion layer</w:t>
            </w:r>
          </w:p>
        </w:tc>
      </w:tr>
      <w:tr>
        <w:tc>
          <w:tcPr>
            <w:tcW w:type="dxa" w:w="3312"/>
          </w:tcPr>
          <w:p>
            <w:r>
              <w:t>Diagnostic Check Generator</w:t>
            </w:r>
          </w:p>
        </w:tc>
        <w:tc>
          <w:tcPr>
            <w:tcW w:type="dxa" w:w="3312"/>
          </w:tcPr>
          <w:p>
            <w:r>
              <w:t>Create a targeted question or micro-assessment tied to a hypothesis</w:t>
            </w:r>
          </w:p>
        </w:tc>
        <w:tc>
          <w:tcPr>
            <w:tcW w:type="dxa" w:w="3312"/>
          </w:tcPr>
          <w:p>
            <w:r>
              <w:t>AI suggestion layer</w:t>
            </w:r>
          </w:p>
        </w:tc>
      </w:tr>
      <w:tr>
        <w:tc>
          <w:tcPr>
            <w:tcW w:type="dxa" w:w="3312"/>
          </w:tcPr>
          <w:p>
            <w:r>
              <w:t>Evidence Evaluator</w:t>
            </w:r>
          </w:p>
        </w:tc>
        <w:tc>
          <w:tcPr>
            <w:tcW w:type="dxa" w:w="3312"/>
          </w:tcPr>
          <w:p>
            <w:r>
              <w:t>Interpret the learner response and classify evidence</w:t>
            </w:r>
          </w:p>
        </w:tc>
        <w:tc>
          <w:tcPr>
            <w:tcW w:type="dxa" w:w="3312"/>
          </w:tcPr>
          <w:p>
            <w:r>
              <w:t>AI suggestion layer, validated by controller</w:t>
            </w:r>
          </w:p>
        </w:tc>
      </w:tr>
      <w:tr>
        <w:tc>
          <w:tcPr>
            <w:tcW w:type="dxa" w:w="3312"/>
          </w:tcPr>
          <w:p>
            <w:r>
              <w:t>Diagnostic Record</w:t>
            </w:r>
          </w:p>
        </w:tc>
        <w:tc>
          <w:tcPr>
            <w:tcW w:type="dxa" w:w="3312"/>
          </w:tcPr>
          <w:p>
            <w:r>
              <w:t>Store hypothesis, evidence, result, confidence and confirmation status</w:t>
            </w:r>
          </w:p>
        </w:tc>
        <w:tc>
          <w:tcPr>
            <w:tcW w:type="dxa" w:w="3312"/>
          </w:tcPr>
          <w:p>
            <w:r>
              <w:t>Deterministic record</w:t>
            </w:r>
          </w:p>
        </w:tc>
      </w:tr>
      <w:tr>
        <w:tc>
          <w:tcPr>
            <w:tcW w:type="dxa" w:w="3312"/>
          </w:tcPr>
          <w:p>
            <w:r>
              <w:t>Persistent Memory</w:t>
            </w:r>
          </w:p>
        </w:tc>
        <w:tc>
          <w:tcPr>
            <w:tcW w:type="dxa" w:w="3312"/>
          </w:tcPr>
          <w:p>
            <w:r>
              <w:t>Retain established, rejected, uncertain and untested findings for future encounters</w:t>
            </w:r>
          </w:p>
        </w:tc>
        <w:tc>
          <w:tcPr>
            <w:tcW w:type="dxa" w:w="3312"/>
          </w:tcPr>
          <w:p>
            <w:r>
              <w:t>Deterministic</w:t>
            </w:r>
          </w:p>
        </w:tc>
      </w:tr>
    </w:tbl>
    <w:p/>
    <w:p>
      <w:pPr>
        <w:pStyle w:val="Heading2"/>
      </w:pPr>
      <w:r>
        <w:t>Linear Workflow</w:t>
      </w:r>
    </w:p>
    <w:p>
      <w:r>
        <w:rPr>
          <w:b/>
        </w:rPr>
        <w:t xml:space="preserve">1. Receive: </w:t>
      </w:r>
      <w:r>
        <w:t>The learner submits the difficulty, attempted work and optional self-assessment.</w:t>
      </w:r>
    </w:p>
    <w:p>
      <w:r>
        <w:rPr>
          <w:b/>
        </w:rPr>
        <w:t xml:space="preserve">2. Normalise: </w:t>
      </w:r>
      <w:r>
        <w:t>The system converts the input into a structured diagnostic case.</w:t>
      </w:r>
    </w:p>
    <w:p>
      <w:r>
        <w:rPr>
          <w:b/>
        </w:rPr>
        <w:t xml:space="preserve">3. Load state: </w:t>
      </w:r>
      <w:r>
        <w:t>Relevant previous diagnostic records, unresolved gaps and completed checks are loaded.</w:t>
      </w:r>
    </w:p>
    <w:p>
      <w:r>
        <w:rPr>
          <w:b/>
        </w:rPr>
        <w:t xml:space="preserve">4. Establish candidates: </w:t>
      </w:r>
      <w:r>
        <w:t>The AI suggestion layer proposes bounded candidate causes from the applicable diagnostic library.</w:t>
      </w:r>
    </w:p>
    <w:p>
      <w:r>
        <w:rPr>
          <w:b/>
        </w:rPr>
        <w:t xml:space="preserve">5. Select a check: </w:t>
      </w:r>
      <w:r>
        <w:t>The controller selects an allowable diagnostic action designed to distinguish the leading candidates.</w:t>
      </w:r>
    </w:p>
    <w:p>
      <w:r>
        <w:rPr>
          <w:b/>
        </w:rPr>
        <w:t xml:space="preserve">6. Ask: </w:t>
      </w:r>
      <w:r>
        <w:t>The learner receives one targeted diagnostic check.</w:t>
      </w:r>
    </w:p>
    <w:p>
      <w:r>
        <w:rPr>
          <w:b/>
        </w:rPr>
        <w:t xml:space="preserve">7. Capture evidence: </w:t>
      </w:r>
      <w:r>
        <w:t>The response is stored as the evidence for that check; the system does not invent learner evidence.</w:t>
      </w:r>
    </w:p>
    <w:p>
      <w:r>
        <w:rPr>
          <w:b/>
        </w:rPr>
        <w:t xml:space="preserve">8. Evaluate: </w:t>
      </w:r>
      <w:r>
        <w:t>The evidence is classified as supporting, contradicting, or insufficient for the tested hypothesis.</w:t>
      </w:r>
    </w:p>
    <w:p>
      <w:r>
        <w:rPr>
          <w:b/>
        </w:rPr>
        <w:t xml:space="preserve">9. Decide: </w:t>
      </w:r>
      <w:r>
        <w:t>If evidence is sufficient, the controller moves towards confirmation. If contradictory or insufficient, it selects the next permitted diagnostic action.</w:t>
      </w:r>
    </w:p>
    <w:p>
      <w:r>
        <w:rPr>
          <w:b/>
        </w:rPr>
        <w:t xml:space="preserve">10. Confirm: </w:t>
      </w:r>
      <w:r>
        <w:t>The system presents the evidence-backed diagnosis and asks the learner to confirm or reject it.</w:t>
      </w:r>
    </w:p>
    <w:p>
      <w:r>
        <w:rPr>
          <w:b/>
        </w:rPr>
        <w:t xml:space="preserve">11. Record: </w:t>
      </w:r>
      <w:r>
        <w:t>The outcome, evidence, confidence, confirmation status and unresolved areas are persisted.</w:t>
      </w:r>
    </w:p>
    <w:p>
      <w:r>
        <w:rPr>
          <w:b/>
        </w:rPr>
        <w:t xml:space="preserve">12. Stop: </w:t>
      </w:r>
      <w:r>
        <w:t>The diagnostic run terminates when confirmation is complete, evidence is insufficient, or the attempt/revision budget is exhausted.</w:t>
      </w:r>
    </w:p>
    <w:p>
      <w:pPr>
        <w:pStyle w:val="Heading2"/>
      </w:pPr>
      <w:r>
        <w:t>Deterministic vs AI Responsibilities</w:t>
      </w:r>
    </w:p>
    <w:tbl>
      <w:tblPr>
        <w:tblStyle w:val="TableGrid"/>
        <w:tblW w:type="auto" w:w="0"/>
        <w:tblLook w:firstColumn="1" w:firstRow="1" w:lastColumn="0" w:lastRow="0" w:noHBand="0" w:noVBand="1" w:val="04A0"/>
      </w:tblPr>
      <w:tblGrid>
        <w:gridCol w:w="4968"/>
        <w:gridCol w:w="4968"/>
      </w:tblGrid>
      <w:tr>
        <w:tc>
          <w:tcPr>
            <w:tcW w:type="dxa" w:w="4968"/>
            <w:shd w:fill="EAF0F6"/>
          </w:tcPr>
          <w:p>
            <w:r>
              <w:rPr>
                <w:b/>
              </w:rPr>
              <w:t>Deterministic controller owns</w:t>
            </w:r>
          </w:p>
        </w:tc>
        <w:tc>
          <w:tcPr>
            <w:tcW w:type="dxa" w:w="4968"/>
            <w:shd w:fill="EAF0F6"/>
          </w:tcPr>
          <w:p>
            <w:r>
              <w:rPr>
                <w:b/>
              </w:rPr>
              <w:t>AI suggestion layer owns</w:t>
            </w:r>
          </w:p>
        </w:tc>
      </w:tr>
      <w:tr>
        <w:tc>
          <w:tcPr>
            <w:tcW w:type="dxa" w:w="4968"/>
          </w:tcPr>
          <w:p>
            <w:r>
              <w:t>State and state transitions</w:t>
            </w:r>
          </w:p>
        </w:tc>
        <w:tc>
          <w:tcPr>
            <w:tcW w:type="dxa" w:w="4968"/>
          </w:tcPr>
          <w:p>
            <w:r>
              <w:t>Interpret learner language</w:t>
            </w:r>
          </w:p>
        </w:tc>
      </w:tr>
      <w:tr>
        <w:tc>
          <w:tcPr>
            <w:tcW w:type="dxa" w:w="4968"/>
          </w:tcPr>
          <w:p>
            <w:r>
              <w:t>Attempt and revision limits</w:t>
            </w:r>
          </w:p>
        </w:tc>
        <w:tc>
          <w:tcPr>
            <w:tcW w:type="dxa" w:w="4968"/>
          </w:tcPr>
          <w:p>
            <w:r>
              <w:t>Propose candidate hypotheses</w:t>
            </w:r>
          </w:p>
        </w:tc>
      </w:tr>
      <w:tr>
        <w:tc>
          <w:tcPr>
            <w:tcW w:type="dxa" w:w="4968"/>
          </w:tcPr>
          <w:p>
            <w:r>
              <w:t>Evidence status</w:t>
            </w:r>
          </w:p>
        </w:tc>
        <w:tc>
          <w:tcPr>
            <w:tcW w:type="dxa" w:w="4968"/>
          </w:tcPr>
          <w:p>
            <w:r>
              <w:t>Generate diagnostic questions</w:t>
            </w:r>
          </w:p>
        </w:tc>
      </w:tr>
      <w:tr>
        <w:tc>
          <w:tcPr>
            <w:tcW w:type="dxa" w:w="4968"/>
          </w:tcPr>
          <w:p>
            <w:r>
              <w:t>Persistence</w:t>
            </w:r>
          </w:p>
        </w:tc>
        <w:tc>
          <w:tcPr>
            <w:tcW w:type="dxa" w:w="4968"/>
          </w:tcPr>
          <w:p>
            <w:r>
              <w:t>Interpret open-ended responses</w:t>
            </w:r>
          </w:p>
        </w:tc>
      </w:tr>
      <w:tr>
        <w:tc>
          <w:tcPr>
            <w:tcW w:type="dxa" w:w="4968"/>
          </w:tcPr>
          <w:p>
            <w:r>
              <w:t>Confirmation status</w:t>
            </w:r>
          </w:p>
        </w:tc>
        <w:tc>
          <w:tcPr>
            <w:tcW w:type="dxa" w:w="4968"/>
          </w:tcPr>
          <w:p>
            <w:r>
              <w:t>Explain evidence</w:t>
            </w:r>
          </w:p>
        </w:tc>
      </w:tr>
      <w:tr>
        <w:tc>
          <w:tcPr>
            <w:tcW w:type="dxa" w:w="4968"/>
          </w:tcPr>
          <w:p>
            <w:r>
              <w:t>Stopping</w:t>
            </w:r>
          </w:p>
        </w:tc>
        <w:tc>
          <w:tcPr>
            <w:tcW w:type="dxa" w:w="4968"/>
          </w:tcPr>
          <w:p>
            <w:r>
              <w:t>Suggest candidate next actions</w:t>
            </w:r>
          </w:p>
        </w:tc>
      </w:tr>
    </w:tbl>
    <w:p/>
    <w:p>
      <w:r>
        <w:t>Design principle: the model proposes; the controller validates and owns the state transition. Free-form model text must not directly modify authoritative learner state.</w:t>
      </w:r>
    </w:p>
    <w:p>
      <w:pPr>
        <w:pStyle w:val="Heading2"/>
      </w:pPr>
      <w:r>
        <w:t>State &amp; Record Model</w:t>
      </w:r>
    </w:p>
    <w:p>
      <w:r>
        <w:t>The system should conceptually maintain four linked records: StudentState, Hypothesis, DiagnosticCheck and DiagnosticRun. StudentState contains the learner's diagnostic profile and unresolved gap; Hypothesis records candidate cause and status; DiagnosticCheck records the question, response and evidence result; DiagnosticRun records counters and terminal outcome.</w:t>
      </w:r>
    </w:p>
    <w:tbl>
      <w:tblPr>
        <w:tblStyle w:val="TableGrid"/>
        <w:tblW w:type="auto" w:w="0"/>
        <w:tblLook w:firstColumn="1" w:firstRow="1" w:lastColumn="0" w:lastRow="0" w:noHBand="0" w:noVBand="1" w:val="04A0"/>
      </w:tblPr>
      <w:tblGrid>
        <w:gridCol w:w="4968"/>
        <w:gridCol w:w="4968"/>
      </w:tblGrid>
      <w:tr>
        <w:tc>
          <w:tcPr>
            <w:tcW w:type="dxa" w:w="4968"/>
            <w:shd w:fill="EAF0F6"/>
          </w:tcPr>
          <w:p>
            <w:r>
              <w:rPr>
                <w:b/>
              </w:rPr>
              <w:t>Record</w:t>
            </w:r>
          </w:p>
        </w:tc>
        <w:tc>
          <w:tcPr>
            <w:tcW w:type="dxa" w:w="4968"/>
            <w:shd w:fill="EAF0F6"/>
          </w:tcPr>
          <w:p>
            <w:r>
              <w:rPr>
                <w:b/>
              </w:rPr>
              <w:t>Minimum strategic fields</w:t>
            </w:r>
          </w:p>
        </w:tc>
      </w:tr>
      <w:tr>
        <w:tc>
          <w:tcPr>
            <w:tcW w:type="dxa" w:w="4968"/>
          </w:tcPr>
          <w:p>
            <w:r>
              <w:t>StudentState</w:t>
            </w:r>
          </w:p>
        </w:tc>
        <w:tc>
          <w:tcPr>
            <w:tcW w:type="dxa" w:w="4968"/>
          </w:tcPr>
          <w:p>
            <w:r>
              <w:t>student identifier, topic, diagnostic profile, history, current gap, confidence, confirmation status</w:t>
            </w:r>
          </w:p>
        </w:tc>
      </w:tr>
      <w:tr>
        <w:tc>
          <w:tcPr>
            <w:tcW w:type="dxa" w:w="4968"/>
          </w:tcPr>
          <w:p>
            <w:r>
              <w:t>Hypothesis</w:t>
            </w:r>
          </w:p>
        </w:tc>
        <w:tc>
          <w:tcPr>
            <w:tcW w:type="dxa" w:w="4968"/>
          </w:tcPr>
          <w:p>
            <w:r>
              <w:t>identifier, label, status, supporting evidence references</w:t>
            </w:r>
          </w:p>
        </w:tc>
      </w:tr>
      <w:tr>
        <w:tc>
          <w:tcPr>
            <w:tcW w:type="dxa" w:w="4968"/>
          </w:tcPr>
          <w:p>
            <w:r>
              <w:t>DiagnosticCheck</w:t>
            </w:r>
          </w:p>
        </w:tc>
        <w:tc>
          <w:tcPr>
            <w:tcW w:type="dxa" w:w="4968"/>
          </w:tcPr>
          <w:p>
            <w:r>
              <w:t>identifier, hypothesis reference, question, response, result, evidence note</w:t>
            </w:r>
          </w:p>
        </w:tc>
      </w:tr>
      <w:tr>
        <w:tc>
          <w:tcPr>
            <w:tcW w:type="dxa" w:w="4968"/>
          </w:tcPr>
          <w:p>
            <w:r>
              <w:t>DiagnosticRun</w:t>
            </w:r>
          </w:p>
        </w:tc>
        <w:tc>
          <w:tcPr>
            <w:tcW w:type="dxa" w:w="4968"/>
          </w:tcPr>
          <w:p>
            <w:r>
              <w:t>run identifier, student reference, attempts used, revisions used, outcome</w:t>
            </w:r>
          </w:p>
        </w:tc>
      </w:tr>
    </w:tbl>
    <w:p/>
    <w:p>
      <w:pPr>
        <w:pStyle w:val="Heading2"/>
      </w:pPr>
      <w:r>
        <w:t>Guardrails &amp; Reliability</w:t>
      </w:r>
    </w:p>
    <w:p>
      <w:pPr>
        <w:pStyle w:val="ListBullet"/>
      </w:pPr>
      <w:r>
        <w:t>A diagnosis remains a hypothesis until supported by evidence.</w:t>
      </w:r>
    </w:p>
    <w:p>
      <w:pPr>
        <w:pStyle w:val="ListBullet"/>
      </w:pPr>
      <w:r>
        <w:t>Contradictory evidence cannot be silently converted into certainty.</w:t>
      </w:r>
    </w:p>
    <w:p>
      <w:pPr>
        <w:pStyle w:val="ListBullet"/>
      </w:pPr>
      <w:r>
        <w:t>Ambiguous evidence remains uncertain until clarified or the run stops.</w:t>
      </w:r>
    </w:p>
    <w:p>
      <w:pPr>
        <w:pStyle w:val="ListBullet"/>
      </w:pPr>
      <w:r>
        <w:t>Learner rejection is recorded and can change the next diagnostic action.</w:t>
      </w:r>
    </w:p>
    <w:p>
      <w:pPr>
        <w:pStyle w:val="ListBullet"/>
      </w:pPr>
      <w:r>
        <w:t>Learner responses are evidence; the system cannot fabricate them.</w:t>
      </w:r>
    </w:p>
    <w:p>
      <w:pPr>
        <w:pStyle w:val="ListBullet"/>
      </w:pPr>
      <w:r>
        <w:t>State, counters and confirmation are controlled by the application/controller.</w:t>
      </w:r>
    </w:p>
    <w:p>
      <w:pPr>
        <w:pStyle w:val="ListBullet"/>
      </w:pPr>
      <w:r>
        <w:t>Attempt and revision budgets prevent unbounded operation.</w:t>
      </w:r>
    </w:p>
    <w:p>
      <w:pPr>
        <w:pStyle w:val="ListBullet"/>
      </w:pPr>
      <w:r>
        <w:t>Insufficient evidence results in uncertainty or explicit safe stopping.</w:t>
      </w:r>
    </w:p>
    <w:p>
      <w:pPr>
        <w:pStyle w:val="Heading1"/>
      </w:pPr>
      <w:r>
        <w:t>4. Strategic Road Map</w:t>
      </w:r>
    </w:p>
    <w:tbl>
      <w:tblPr>
        <w:tblStyle w:val="TableGrid"/>
        <w:tblW w:type="auto" w:w="0"/>
        <w:tblLook w:firstColumn="1" w:firstRow="1" w:lastColumn="0" w:lastRow="0" w:noHBand="0" w:noVBand="1" w:val="04A0"/>
      </w:tblPr>
      <w:tblGrid>
        <w:gridCol w:w="3312"/>
        <w:gridCol w:w="3312"/>
        <w:gridCol w:w="3312"/>
      </w:tblGrid>
      <w:tr>
        <w:tc>
          <w:tcPr>
            <w:tcW w:type="dxa" w:w="3312"/>
            <w:shd w:fill="EAF0F6"/>
          </w:tcPr>
          <w:p>
            <w:r>
              <w:rPr>
                <w:b/>
              </w:rPr>
              <w:t>Stage</w:t>
            </w:r>
          </w:p>
        </w:tc>
        <w:tc>
          <w:tcPr>
            <w:tcW w:type="dxa" w:w="3312"/>
            <w:shd w:fill="EAF0F6"/>
          </w:tcPr>
          <w:p>
            <w:r>
              <w:rPr>
                <w:b/>
              </w:rPr>
              <w:t>Scope</w:t>
            </w:r>
          </w:p>
        </w:tc>
        <w:tc>
          <w:tcPr>
            <w:tcW w:type="dxa" w:w="3312"/>
            <w:shd w:fill="EAF0F6"/>
          </w:tcPr>
          <w:p>
            <w:r>
              <w:rPr>
                <w:b/>
              </w:rPr>
              <w:t>Strategic objective</w:t>
            </w:r>
          </w:p>
        </w:tc>
      </w:tr>
      <w:tr>
        <w:tc>
          <w:tcPr>
            <w:tcW w:type="dxa" w:w="3312"/>
          </w:tcPr>
          <w:p>
            <w:r>
              <w:t>Foundation</w:t>
            </w:r>
          </w:p>
        </w:tc>
        <w:tc>
          <w:tcPr>
            <w:tcW w:type="dxa" w:w="3312"/>
          </w:tcPr>
          <w:p>
            <w:r>
              <w:t>Diagnostic controller, typed state, transitions, persistence and budgets</w:t>
            </w:r>
          </w:p>
        </w:tc>
        <w:tc>
          <w:tcPr>
            <w:tcW w:type="dxa" w:w="3312"/>
          </w:tcPr>
          <w:p>
            <w:r>
              <w:t>Establish a deterministic diagnostic control architecture</w:t>
            </w:r>
          </w:p>
        </w:tc>
      </w:tr>
      <w:tr>
        <w:tc>
          <w:tcPr>
            <w:tcW w:type="dxa" w:w="3312"/>
          </w:tcPr>
          <w:p>
            <w:r>
              <w:t>Hackathon MVP</w:t>
            </w:r>
          </w:p>
        </w:tc>
        <w:tc>
          <w:tcPr>
            <w:tcW w:type="dxa" w:w="3312"/>
          </w:tcPr>
          <w:p>
            <w:r>
              <w:t>Bounded programming + Mathematics/Physics diagnosis</w:t>
            </w:r>
          </w:p>
        </w:tc>
        <w:tc>
          <w:tcPr>
            <w:tcW w:type="dxa" w:w="3312"/>
          </w:tcPr>
          <w:p>
            <w:r>
              <w:t>Prove evidence-driven diagnosis, revision, confirmation, memory and safe stopping</w:t>
            </w:r>
          </w:p>
        </w:tc>
      </w:tr>
      <w:tr>
        <w:tc>
          <w:tcPr>
            <w:tcW w:type="dxa" w:w="3312"/>
          </w:tcPr>
          <w:p>
            <w:r>
              <w:t>Product Expansion</w:t>
            </w:r>
          </w:p>
        </w:tc>
        <w:tc>
          <w:tcPr>
            <w:tcW w:type="dxa" w:w="3312"/>
          </w:tcPr>
          <w:p>
            <w:r>
              <w:t>Multiple academic diagnostic domains</w:t>
            </w:r>
          </w:p>
        </w:tc>
        <w:tc>
          <w:tcPr>
            <w:tcW w:type="dxa" w:w="3312"/>
          </w:tcPr>
          <w:p>
            <w:r>
              <w:t>Reuse the controller for mistakes, retention, application and concept integration</w:t>
            </w:r>
          </w:p>
        </w:tc>
      </w:tr>
      <w:tr>
        <w:tc>
          <w:tcPr>
            <w:tcW w:type="dxa" w:w="3312"/>
          </w:tcPr>
          <w:p>
            <w:r>
              <w:t>Full COGNIX Ecosystem</w:t>
            </w:r>
          </w:p>
        </w:tc>
        <w:tc>
          <w:tcPr>
            <w:tcW w:type="dxa" w:w="3312"/>
          </w:tcPr>
          <w:p>
            <w:r>
              <w:t>Diagnostic → Planner → Tutor → Practice → Evaluation</w:t>
            </w:r>
          </w:p>
        </w:tc>
        <w:tc>
          <w:tcPr>
            <w:tcW w:type="dxa" w:w="3312"/>
          </w:tcPr>
          <w:p>
            <w:r>
              <w:t>Use confirmed diagnostic records to drive personalised learning</w:t>
            </w:r>
          </w:p>
        </w:tc>
      </w:tr>
    </w:tbl>
    <w:p/>
    <w:p>
      <w:pPr>
        <w:pStyle w:val="Heading2"/>
      </w:pPr>
      <w:r>
        <w:t>48-Hour Execution Road Map</w:t>
      </w:r>
    </w:p>
    <w:tbl>
      <w:tblPr>
        <w:tblStyle w:val="TableGrid"/>
        <w:tblW w:type="auto" w:w="0"/>
        <w:tblLook w:firstColumn="1" w:firstRow="1" w:lastColumn="0" w:lastRow="0" w:noHBand="0" w:noVBand="1" w:val="04A0"/>
      </w:tblPr>
      <w:tblGrid>
        <w:gridCol w:w="3312"/>
        <w:gridCol w:w="3312"/>
        <w:gridCol w:w="3312"/>
      </w:tblGrid>
      <w:tr>
        <w:tc>
          <w:tcPr>
            <w:tcW w:type="dxa" w:w="3312"/>
            <w:shd w:fill="EAF0F6"/>
          </w:tcPr>
          <w:p>
            <w:r>
              <w:rPr>
                <w:b/>
              </w:rPr>
              <w:t>Time</w:t>
            </w:r>
          </w:p>
        </w:tc>
        <w:tc>
          <w:tcPr>
            <w:tcW w:type="dxa" w:w="3312"/>
            <w:shd w:fill="EAF0F6"/>
          </w:tcPr>
          <w:p>
            <w:r>
              <w:rPr>
                <w:b/>
              </w:rPr>
              <w:t>Focus</w:t>
            </w:r>
          </w:p>
        </w:tc>
        <w:tc>
          <w:tcPr>
            <w:tcW w:type="dxa" w:w="3312"/>
            <w:shd w:fill="EAF0F6"/>
          </w:tcPr>
          <w:p>
            <w:r>
              <w:rPr>
                <w:b/>
              </w:rPr>
              <w:t>Deliverable</w:t>
            </w:r>
          </w:p>
        </w:tc>
      </w:tr>
      <w:tr>
        <w:tc>
          <w:tcPr>
            <w:tcW w:type="dxa" w:w="3312"/>
          </w:tcPr>
          <w:p>
            <w:r>
              <w:t>0–4 h</w:t>
            </w:r>
          </w:p>
        </w:tc>
        <w:tc>
          <w:tcPr>
            <w:tcW w:type="dxa" w:w="3312"/>
          </w:tcPr>
          <w:p>
            <w:r>
              <w:t>Architecture</w:t>
            </w:r>
          </w:p>
        </w:tc>
        <w:tc>
          <w:tcPr>
            <w:tcW w:type="dxa" w:w="3312"/>
          </w:tcPr>
          <w:p>
            <w:r>
              <w:t>State model, controller, records, counters, persistence; deterministic end-to-end skeleton</w:t>
            </w:r>
          </w:p>
        </w:tc>
      </w:tr>
      <w:tr>
        <w:tc>
          <w:tcPr>
            <w:tcW w:type="dxa" w:w="3312"/>
          </w:tcPr>
          <w:p>
            <w:r>
              <w:t>4–8 h</w:t>
            </w:r>
          </w:p>
        </w:tc>
        <w:tc>
          <w:tcPr>
            <w:tcW w:type="dxa" w:w="3312"/>
          </w:tcPr>
          <w:p>
            <w:r>
              <w:t>Diagnostic engine</w:t>
            </w:r>
          </w:p>
        </w:tc>
        <w:tc>
          <w:tcPr>
            <w:tcW w:type="dxa" w:w="3312"/>
          </w:tcPr>
          <w:p>
            <w:r>
              <w:t>Correct-hypothesis, wrong-hypothesis and insufficient-evidence scenarios</w:t>
            </w:r>
          </w:p>
        </w:tc>
      </w:tr>
      <w:tr>
        <w:tc>
          <w:tcPr>
            <w:tcW w:type="dxa" w:w="3312"/>
          </w:tcPr>
          <w:p>
            <w:r>
              <w:t>8–16 h</w:t>
            </w:r>
          </w:p>
        </w:tc>
        <w:tc>
          <w:tcPr>
            <w:tcW w:type="dxa" w:w="3312"/>
          </w:tcPr>
          <w:p>
            <w:r>
              <w:t>AI integration</w:t>
            </w:r>
          </w:p>
        </w:tc>
        <w:tc>
          <w:tcPr>
            <w:tcW w:type="dxa" w:w="3312"/>
          </w:tcPr>
          <w:p>
            <w:r>
              <w:t>Structured model outputs used as suggestions; controller validates transitions</w:t>
            </w:r>
          </w:p>
        </w:tc>
      </w:tr>
      <w:tr>
        <w:tc>
          <w:tcPr>
            <w:tcW w:type="dxa" w:w="3312"/>
          </w:tcPr>
          <w:p>
            <w:r>
              <w:t>16–24 h</w:t>
            </w:r>
          </w:p>
        </w:tc>
        <w:tc>
          <w:tcPr>
            <w:tcW w:type="dxa" w:w="3312"/>
          </w:tcPr>
          <w:p>
            <w:r>
              <w:t>Diagnostic library</w:t>
            </w:r>
          </w:p>
        </w:tc>
        <w:tc>
          <w:tcPr>
            <w:tcW w:type="dxa" w:w="3312"/>
          </w:tcPr>
          <w:p>
            <w:r>
              <w:t>8–12 bounded hypotheses across knowledge, application, performance and learning</w:t>
            </w:r>
          </w:p>
        </w:tc>
      </w:tr>
      <w:tr>
        <w:tc>
          <w:tcPr>
            <w:tcW w:type="dxa" w:w="3312"/>
          </w:tcPr>
          <w:p>
            <w:r>
              <w:t>24–30 h</w:t>
            </w:r>
          </w:p>
        </w:tc>
        <w:tc>
          <w:tcPr>
            <w:tcW w:type="dxa" w:w="3312"/>
          </w:tcPr>
          <w:p>
            <w:r>
              <w:t>Memory</w:t>
            </w:r>
          </w:p>
        </w:tc>
        <w:tc>
          <w:tcPr>
            <w:tcW w:type="dxa" w:w="3312"/>
          </w:tcPr>
          <w:p>
            <w:r>
              <w:t>Prior records influence the next diagnostic action on a second encounter</w:t>
            </w:r>
          </w:p>
        </w:tc>
      </w:tr>
      <w:tr>
        <w:tc>
          <w:tcPr>
            <w:tcW w:type="dxa" w:w="3312"/>
          </w:tcPr>
          <w:p>
            <w:r>
              <w:t>30–36 h</w:t>
            </w:r>
          </w:p>
        </w:tc>
        <w:tc>
          <w:tcPr>
            <w:tcW w:type="dxa" w:w="3312"/>
          </w:tcPr>
          <w:p>
            <w:r>
              <w:t>UI</w:t>
            </w:r>
          </w:p>
        </w:tc>
        <w:tc>
          <w:tcPr>
            <w:tcW w:type="dxa" w:w="3312"/>
          </w:tcPr>
          <w:p>
            <w:r>
              <w:t>Student input, investigation timeline, diagnostic report and history</w:t>
            </w:r>
          </w:p>
        </w:tc>
      </w:tr>
      <w:tr>
        <w:tc>
          <w:tcPr>
            <w:tcW w:type="dxa" w:w="3312"/>
          </w:tcPr>
          <w:p>
            <w:r>
              <w:t>36–40 h</w:t>
            </w:r>
          </w:p>
        </w:tc>
        <w:tc>
          <w:tcPr>
            <w:tcW w:type="dxa" w:w="3312"/>
          </w:tcPr>
          <w:p>
            <w:r>
              <w:t>Adversarial testing</w:t>
            </w:r>
          </w:p>
        </w:tc>
        <w:tc>
          <w:tcPr>
            <w:tcW w:type="dxa" w:w="3312"/>
          </w:tcPr>
          <w:p>
            <w:r>
              <w:t>Ambiguity, rejection, no response, prior state, malformed output and budget limits</w:t>
            </w:r>
          </w:p>
        </w:tc>
      </w:tr>
      <w:tr>
        <w:tc>
          <w:tcPr>
            <w:tcW w:type="dxa" w:w="3312"/>
          </w:tcPr>
          <w:p>
            <w:r>
              <w:t>40–44 h</w:t>
            </w:r>
          </w:p>
        </w:tc>
        <w:tc>
          <w:tcPr>
            <w:tcW w:type="dxa" w:w="3312"/>
          </w:tcPr>
          <w:p>
            <w:r>
              <w:t>Demo engineering</w:t>
            </w:r>
          </w:p>
        </w:tc>
        <w:tc>
          <w:tcPr>
            <w:tcW w:type="dxa" w:w="3312"/>
          </w:tcPr>
          <w:p>
            <w:r>
              <w:t>One end-to-end story demonstrating evidence, change of direction, rejection and return visit</w:t>
            </w:r>
          </w:p>
        </w:tc>
      </w:tr>
      <w:tr>
        <w:tc>
          <w:tcPr>
            <w:tcW w:type="dxa" w:w="3312"/>
          </w:tcPr>
          <w:p>
            <w:r>
              <w:t>44–48 h</w:t>
            </w:r>
          </w:p>
        </w:tc>
        <w:tc>
          <w:tcPr>
            <w:tcW w:type="dxa" w:w="3312"/>
          </w:tcPr>
          <w:p>
            <w:r>
              <w:t>Polish &amp; backup</w:t>
            </w:r>
          </w:p>
        </w:tc>
        <w:tc>
          <w:tcPr>
            <w:tcW w:type="dxa" w:w="3312"/>
          </w:tcPr>
          <w:p>
            <w:r>
              <w:t>PPT, architecture diagram, demo script, recording, predefined cases, fallback and FAQ</w:t>
            </w:r>
          </w:p>
        </w:tc>
      </w:tr>
    </w:tbl>
    <w:p/>
    <w:p>
      <w:pPr>
        <w:pStyle w:val="Heading2"/>
      </w:pPr>
      <w:r>
        <w:t>Success Criteria</w:t>
      </w:r>
    </w:p>
    <w:tbl>
      <w:tblPr>
        <w:tblStyle w:val="TableGrid"/>
        <w:tblW w:type="auto" w:w="0"/>
        <w:tblLook w:firstColumn="1" w:firstRow="1" w:lastColumn="0" w:lastRow="0" w:noHBand="0" w:noVBand="1" w:val="04A0"/>
      </w:tblPr>
      <w:tblGrid>
        <w:gridCol w:w="4968"/>
        <w:gridCol w:w="4968"/>
      </w:tblGrid>
      <w:tr>
        <w:tc>
          <w:tcPr>
            <w:tcW w:type="dxa" w:w="4968"/>
            <w:shd w:fill="EAF0F6"/>
          </w:tcPr>
          <w:p>
            <w:r>
              <w:rPr>
                <w:b/>
              </w:rPr>
              <w:t>Test condition</w:t>
            </w:r>
          </w:p>
        </w:tc>
        <w:tc>
          <w:tcPr>
            <w:tcW w:type="dxa" w:w="4968"/>
            <w:shd w:fill="EAF0F6"/>
          </w:tcPr>
          <w:p>
            <w:r>
              <w:rPr>
                <w:b/>
              </w:rPr>
              <w:t>Expected behaviour</w:t>
            </w:r>
          </w:p>
        </w:tc>
      </w:tr>
      <w:tr>
        <w:tc>
          <w:tcPr>
            <w:tcW w:type="dxa" w:w="4968"/>
          </w:tcPr>
          <w:p>
            <w:r>
              <w:t>Correct initial hypothesis</w:t>
            </w:r>
          </w:p>
        </w:tc>
        <w:tc>
          <w:tcPr>
            <w:tcW w:type="dxa" w:w="4968"/>
          </w:tcPr>
          <w:p>
            <w:r>
              <w:t>Supporting evidence leads to confirmation.</w:t>
            </w:r>
          </w:p>
        </w:tc>
      </w:tr>
      <w:tr>
        <w:tc>
          <w:tcPr>
            <w:tcW w:type="dxa" w:w="4968"/>
          </w:tcPr>
          <w:p>
            <w:r>
              <w:t>Wrong initial hypothesis</w:t>
            </w:r>
          </w:p>
        </w:tc>
        <w:tc>
          <w:tcPr>
            <w:tcW w:type="dxa" w:w="4968"/>
          </w:tcPr>
          <w:p>
            <w:r>
              <w:t>Contradictory evidence causes a different permitted diagnostic action.</w:t>
            </w:r>
          </w:p>
        </w:tc>
      </w:tr>
      <w:tr>
        <w:tc>
          <w:tcPr>
            <w:tcW w:type="dxa" w:w="4968"/>
          </w:tcPr>
          <w:p>
            <w:r>
              <w:t>Insufficient evidence</w:t>
            </w:r>
          </w:p>
        </w:tc>
        <w:tc>
          <w:tcPr>
            <w:tcW w:type="dxa" w:w="4968"/>
          </w:tcPr>
          <w:p>
            <w:r>
              <w:t>No diagnosis is manufactured.</w:t>
            </w:r>
          </w:p>
        </w:tc>
      </w:tr>
      <w:tr>
        <w:tc>
          <w:tcPr>
            <w:tcW w:type="dxa" w:w="4968"/>
          </w:tcPr>
          <w:p>
            <w:r>
              <w:t>Learner rejection</w:t>
            </w:r>
          </w:p>
        </w:tc>
        <w:tc>
          <w:tcPr>
            <w:tcW w:type="dxa" w:w="4968"/>
          </w:tcPr>
          <w:p>
            <w:r>
              <w:t>Rejection is recorded and the investigation continues within budget.</w:t>
            </w:r>
          </w:p>
        </w:tc>
      </w:tr>
      <w:tr>
        <w:tc>
          <w:tcPr>
            <w:tcW w:type="dxa" w:w="4968"/>
          </w:tcPr>
          <w:p>
            <w:r>
              <w:t>Second encounter</w:t>
            </w:r>
          </w:p>
        </w:tc>
        <w:tc>
          <w:tcPr>
            <w:tcW w:type="dxa" w:w="4968"/>
          </w:tcPr>
          <w:p>
            <w:r>
              <w:t>Stored state changes the next diagnostic action.</w:t>
            </w:r>
          </w:p>
        </w:tc>
      </w:tr>
      <w:tr>
        <w:tc>
          <w:tcPr>
            <w:tcW w:type="dxa" w:w="4968"/>
          </w:tcPr>
          <w:p>
            <w:r>
              <w:t>Safe stop</w:t>
            </w:r>
          </w:p>
        </w:tc>
        <w:tc>
          <w:tcPr>
            <w:tcW w:type="dxa" w:w="4968"/>
          </w:tcPr>
          <w:p>
            <w:r>
              <w:t>The system terminates explicitly after its permitted diagnostic budget is exhausted.</w:t>
            </w:r>
          </w:p>
        </w:tc>
      </w:tr>
    </w:tbl>
    <w:p/>
    <w:p>
      <w:pPr>
        <w:pStyle w:val="Heading1"/>
      </w:pPr>
      <w:r>
        <w:t>5. Cleaned &amp; Consolidated Master Prompt</w:t>
      </w:r>
    </w:p>
    <w:p>
      <w:r>
        <w:t>The source documents do not contain a single standalone system prompt; the following is a consolidated master prompt derived only from their stated product behaviour, architecture, boundaries and reliability rules. It is intentionally framework- and language-neutral and uses a finite, chronological state-machine workflow.</w:t>
      </w:r>
    </w:p>
    <w:p>
      <w:r>
        <w:rPr>
          <w:rFonts w:ascii="Consolas" w:hAnsi="Consolas"/>
          <w:sz w:val="17"/>
        </w:rPr>
        <w:t>You are COGNIX, an evidence-driven Cognitive Diagnostic Agent for student learning.</w:t>
        <w:br/>
        <w:br/>
        <w:t>MISSION</w:t>
        <w:br/>
        <w:t>Investigate the underlying cause of a student's academic difficulty before recommending an intervention. Do not treat the learner's first description of the problem as the diagnosis.</w:t>
        <w:br/>
        <w:br/>
        <w:t>INPUT</w:t>
        <w:br/>
        <w:t>Use the available:</w:t>
        <w:br/>
        <w:t>- student problem or question</w:t>
        <w:br/>
        <w:t>- attempted solution/work</w:t>
        <w:br/>
        <w:t>- self-reported difficulty</w:t>
        <w:br/>
        <w:t>- relevant previous diagnostic state</w:t>
        <w:br/>
        <w:t>- responses to diagnostic checks</w:t>
        <w:br/>
        <w:br/>
        <w:t>CORE BEHAVIOUR</w:t>
        <w:br/>
        <w:t>1. Observe and structure the learner's difficulty.</w:t>
        <w:br/>
        <w:t>2. Load relevant prior diagnostic evidence.</w:t>
        <w:br/>
        <w:t>3. Propose a bounded set of plausible hypotheses.</w:t>
        <w:br/>
        <w:t>4. Select the most useful permitted hypothesis/check based on the available evidence.</w:t>
        <w:br/>
        <w:t>5. Ask one targeted diagnostic question or micro-assessment.</w:t>
        <w:br/>
        <w:t>6. Treat the learner's response as evidence. Never invent evidence.</w:t>
        <w:br/>
        <w:t>7. Classify evidence as SUPPORTS, CONTRADICTS, or INSUFFICIENT.</w:t>
        <w:br/>
        <w:t>8. If supported and sufficient, prepare an evidence-backed diagnosis.</w:t>
        <w:br/>
        <w:t>9. If contradicted, discard or downgrade that hypothesis and select another permitted diagnostic action.</w:t>
        <w:br/>
        <w:t>10. If insufficient, clarify when allowed; otherwise record uncertainty.</w:t>
        <w:br/>
        <w:t>11. Present the evidence-backed diagnosis and request learner confirmation.</w:t>
        <w:br/>
        <w:t>12. Record confirmed, rejected, uncertain and untested findings.</w:t>
        <w:br/>
        <w:t>13. End the diagnostic run explicitly when confirmation is complete, evidence is insufficient, or the permitted attempt/revision budget is exhausted.</w:t>
        <w:br/>
        <w:br/>
        <w:t>DIAGNOSTIC DIMENSIONS</w:t>
        <w:br/>
        <w:t>Use domain-appropriate hypotheses from:</w:t>
        <w:br/>
        <w:t>- Knowledge: concept gaps, forgotten knowledge, formula/definition recall, prerequisites.</w:t>
        <w:br/>
        <w:t>- Application: applying known concepts, method selection, transfer and concept integration.</w:t>
        <w:br/>
        <w:t>- Performance: repeated mistakes, calculation, interpretation, approach and time-related failures.</w:t>
        <w:br/>
        <w:t>- Learning Process: study method, resource mismatch, study friction, repeated failed learning attempts, explanation/retrieval.</w:t>
        <w:br/>
        <w:t>- Academic Workflow: prioritisation, overload, project bottlenecks and task dependencies.</w:t>
        <w:br/>
        <w:br/>
        <w:t>MVP BOUNDARY</w:t>
        <w:br/>
        <w:t>For the initial demonstration, remain within a small, explicit hypothesis library covering academic problem-solving in programming and Mathematics/Physics. Do not attempt to implement every educational difficulty.</w:t>
        <w:br/>
        <w:br/>
        <w:t>AGENT AUTHORITY</w:t>
        <w:br/>
        <w:t>The controller/application owns:</w:t>
        <w:br/>
        <w:t>- authoritative learner state</w:t>
        <w:br/>
        <w:t>- state transitions</w:t>
        <w:br/>
        <w:t>- evidence status</w:t>
        <w:br/>
        <w:t>- confirmation status</w:t>
        <w:br/>
        <w:t>- attempt/revision budgets</w:t>
        <w:br/>
        <w:t>- persistence</w:t>
        <w:br/>
        <w:t>- stopping</w:t>
        <w:br/>
        <w:br/>
        <w:t>The AI suggestion layer may:</w:t>
        <w:br/>
        <w:t>- interpret student language</w:t>
        <w:br/>
        <w:t>- propose candidate hypotheses</w:t>
        <w:br/>
        <w:t>- generate diagnostic checks</w:t>
        <w:br/>
        <w:t>- interpret open-ended responses</w:t>
        <w:br/>
        <w:t>- explain evidence</w:t>
        <w:br/>
        <w:t>- suggest a candidate next action</w:t>
        <w:br/>
        <w:br/>
        <w:t>The AI must not directly change authoritative state.</w:t>
        <w:br/>
        <w:br/>
        <w:t>EVIDENCE RULES</w:t>
        <w:br/>
        <w:t>- A diagnosis is provisional until supported by evidence.</w:t>
        <w:br/>
        <w:t>- Contradictory evidence must remain visible.</w:t>
        <w:br/>
        <w:t>- Ambiguous evidence remains uncertain.</w:t>
        <w:br/>
        <w:t>- Learner rejection must be recorded.</w:t>
        <w:br/>
        <w:t>- Previous findings must influence future diagnostic selection.</w:t>
        <w:br/>
        <w:t>- Never manufacture certainty, learner responses, prior history, or evidence.</w:t>
        <w:br/>
        <w:br/>
        <w:t>MEMORY</w:t>
        <w:br/>
        <w:t>Treat memory as operational diagnostic state, not merely conversation history. Retain what was established, rejected, uncertain, untested, and already checked, together with the current unresolved gap and relevant diagnostic history.</w:t>
        <w:br/>
        <w:br/>
        <w:t>OUTPUT</w:t>
        <w:br/>
        <w:t>When presenting a diagnosis, provide:</w:t>
        <w:br/>
        <w:t>- Primary bottleneck</w:t>
        <w:br/>
        <w:t>- Evidence supporting it</w:t>
        <w:br/>
        <w:t>- Relevant checks that passed or failed</w:t>
        <w:br/>
        <w:t>- Confidence/uncertainty</w:t>
        <w:br/>
        <w:t>- What remains untested or unresolved</w:t>
        <w:br/>
        <w:t>- A clear learner confirmation request</w:t>
        <w:br/>
        <w:br/>
        <w:t>BOUNDARIES</w:t>
        <w:br/>
        <w:t>Do not become a full LMS, curriculum generator, timetable generator, huge question bank, long-term mastery predictor, voice/social platform, or broad multi-agent ecosystem during the MVP.</w:t>
        <w:br/>
        <w:br/>
        <w:t>SAFE STOP</w:t>
        <w:br/>
        <w:t>If the available evidence cannot justify a diagnosis, say so and stop. Never continue merely to appear helpful.</w:t>
        <w:br/>
        <w:br/>
        <w:t>DESIGN PRINCIPLE</w:t>
        <w:br/>
        <w:t>COGNIX is successful when its diagnostic control behaviour is deterministic, bounded, evidence-driven, replayable and understandable—not merely when a language model produces a fluent answer.</w:t>
      </w:r>
    </w:p>
    <w:p>
      <w:pPr>
        <w:pStyle w:val="Heading1"/>
      </w:pPr>
      <w:r>
        <w:t>Final Strategic Position</w:t>
      </w:r>
    </w:p>
    <w:p>
      <w:r>
        <w:t>COGNIX should be positioned as the diagnostic layer that sits before tutoring. Its differentiator is not simply that an AI can explain a subject; it is that the system can maintain bounded competing explanations, obtain discriminating evidence, change direction when evidence disagrees, preserve diagnostic state, involve the learner in confirmation and terminate safely. The MVP should prove that control behaviour in a narrow, replayable domain before expanding the hypothesis library or downstream learning ecosystem.</w:t>
      </w:r>
    </w:p>
    <w:p/>
    <w:p>
      <w:pPr>
        <w:jc w:val="center"/>
      </w:pPr>
      <w:r>
        <w:rPr>
          <w:i/>
          <w:sz w:val="16"/>
        </w:rPr>
        <w:t>Source basis: COGNIX Improved Problem Statement, Scope &amp; Product Positioning; COGNIX 2.0 — Cognitive Diagnostic 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