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Google Cloud Earnings Brief — Q2 2026 (AWS Field Team)</w:t>
      </w:r>
    </w:p>
    <w:p>
      <w:pPr>
        <w:pStyle w:val="Heading2"/>
      </w:pPr>
      <w:r>
        <w:t>Google Cloud — Q2 2026 Earnings Brief (AWS field team)</w:t>
      </w:r>
    </w:p>
    <w:p>
      <w:r>
        <w:t>Source: Alphabet Q2 2026 results, reported 2026-07-22. Produced as a one-off</w:t>
      </w:r>
    </w:p>
    <w:p>
      <w:r>
        <w:t>analysis (earnings content isn't in the diffable page set at the time of</w:t>
      </w:r>
    </w:p>
    <w:p>
      <w:r>
        <w:t>writing — see note at bottom); not run through the `gcp-analyst` subagent.</w:t>
      </w:r>
    </w:p>
    <w:p>
      <w:pPr>
        <w:pStyle w:val="Heading3"/>
      </w:pPr>
      <w:r>
        <w:t>Material changes (COMMITMENT)</w:t>
      </w:r>
    </w:p>
    <w:p>
      <w:pPr>
        <w:pStyle w:val="ListBullet"/>
      </w:pPr>
      <w:r>
        <w:rPr>
          <w:b/>
        </w:rPr>
        <w:t>Cloud revenue $24.8B, +82% YoY</w:t>
      </w:r>
      <w:r>
        <w:t xml:space="preserve"> (vs $13.6B Q2'25), beating consensus</w:t>
      </w:r>
    </w:p>
    <w:p>
      <w:r>
        <w:t>(~$22.3B). Growth accelerated sharply from 48% YoY as recently as Q4 2025.</w:t>
      </w:r>
    </w:p>
    <w:p>
      <w:r>
        <w:t>This is a published, audited financial result — not a claim.</w:t>
      </w:r>
    </w:p>
    <w:p>
      <w:pPr>
        <w:pStyle w:val="ListBullet"/>
      </w:pPr>
      <w:r>
        <w:rPr>
          <w:b/>
        </w:rPr>
        <w:t>Cloud operating income $8.8B</w:t>
      </w:r>
      <w:r>
        <w:t>, vs $2.8B a year ago — margin expanded</w:t>
      </w:r>
    </w:p>
    <w:p>
      <w:r>
        <w:t>from ~21% to ~36% of segment revenue. Cloud is now profitable at scale, not</w:t>
      </w:r>
    </w:p>
    <w:p>
      <w:r>
        <w:t>subsidized growth.</w:t>
      </w:r>
    </w:p>
    <w:p>
      <w:pPr>
        <w:pStyle w:val="ListBullet"/>
      </w:pPr>
      <w:r>
        <w:rPr>
          <w:b/>
        </w:rPr>
        <w:t>Cloud backlog (RPO) $514B</w:t>
      </w:r>
      <w:r>
        <w:t>, with &gt;50% contracted to convert to revenue</w:t>
      </w:r>
    </w:p>
    <w:p>
      <w:r>
        <w:t>within 24 months (methodology per CFO Anat Ashkenazi). A number this size</w:t>
      </w:r>
    </w:p>
    <w:p>
      <w:r>
        <w:t>is a forward revenue commitment, not a pipeline estimate.</w:t>
      </w:r>
    </w:p>
    <w:p>
      <w:pPr>
        <w:pStyle w:val="ListBullet"/>
      </w:pPr>
      <w:r>
        <w:rPr>
          <w:b/>
        </w:rPr>
        <w:t>2026 capex guidance raised to up to $205B</w:t>
      </w:r>
      <w:r>
        <w:t>, up from $180–190B guided</w:t>
      </w:r>
    </w:p>
    <w:p>
      <w:r>
        <w:t>last quarter — a $15–25B upward revision in a single quarter.</w:t>
      </w:r>
    </w:p>
    <w:p>
      <w:pPr>
        <w:pStyle w:val="ListBullet"/>
      </w:pPr>
      <w:r>
        <w:rPr>
          <w:b/>
        </w:rPr>
        <w:t>Capacity is the binding constraint, on the record</w:t>
      </w:r>
      <w:r>
        <w:t>: CFO Ashkenazi told</w:t>
      </w:r>
    </w:p>
    <w:p>
      <w:r>
        <w:t>analysts "our cloud revenue would have been higher if we were able to meet</w:t>
      </w:r>
    </w:p>
    <w:p>
      <w:r>
        <w:t>the demand." That is a company admitting under-supply, not a</w:t>
      </w:r>
    </w:p>
    <w:p>
      <w:r>
        <w:t>marketing claim of demand strength.</w:t>
      </w:r>
    </w:p>
    <w:p>
      <w:pPr>
        <w:pStyle w:val="Heading3"/>
      </w:pPr>
      <w:r>
        <w:t>Watch (SIGNAL)</w:t>
      </w:r>
    </w:p>
    <w:p>
      <w:pPr>
        <w:pStyle w:val="ListBullet"/>
      </w:pPr>
      <w:r>
        <w:t>Gemini Enterprise adoption cited at "nearly 90% of Fortune 100" — a</w:t>
      </w:r>
    </w:p>
    <w:p>
      <w:r>
        <w:t>penetration claim, not a revenue or seat-count figure; treat as directional</w:t>
      </w:r>
    </w:p>
    <w:p>
      <w:r>
        <w:t>until a hard number is published.</w:t>
      </w:r>
    </w:p>
    <w:p>
      <w:pPr>
        <w:pStyle w:val="ListBullet"/>
      </w:pPr>
      <w:r>
        <w:t>TPU generation: newer TPU 8t/8i described as superseding Ironwood (3x</w:t>
      </w:r>
    </w:p>
    <w:p>
      <w:r>
        <w:t>training throughput, 2x performance per the Q1 call), and reported as the</w:t>
      </w:r>
    </w:p>
    <w:p>
      <w:r>
        <w:t>generation AI labs are demanding now. This is relevant to any deal where a</w:t>
      </w:r>
    </w:p>
    <w:p>
      <w:r>
        <w:t>prospect cites Ironwood-era GCP TPU benchmarks — the comparison point has</w:t>
      </w:r>
    </w:p>
    <w:p>
      <w:r>
        <w:t>already moved.</w:t>
      </w:r>
    </w:p>
    <w:p>
      <w:pPr>
        <w:pStyle w:val="ListBullet"/>
      </w:pPr>
      <w:r>
        <w:t>Alphabet raised $49.6B via stock issuance (June) plus $20.3B in senior</w:t>
      </w:r>
    </w:p>
    <w:p>
      <w:r>
        <w:t>unsecured notes in-quarter, specifically to fund AI infrastructure buildout.</w:t>
      </w:r>
    </w:p>
    <w:p>
      <w:r>
        <w:t>External financing for capex (rather than pure free-cash-flow funding) is</w:t>
      </w:r>
    </w:p>
    <w:p>
      <w:r>
        <w:t>worth tracking across future quarters as a signal of how sustainable the</w:t>
      </w:r>
    </w:p>
    <w:p>
      <w:r>
        <w:t>capex pace is.</w:t>
      </w:r>
    </w:p>
    <w:p>
      <w:pPr>
        <w:pStyle w:val="ListBullet"/>
      </w:pPr>
      <w:r>
        <w:t>Stock sold off on the print despite the beat, reportedly on the capex</w:t>
      </w:r>
    </w:p>
    <w:p>
      <w:r>
        <w:t>raise — market is pricing capex risk, not cloud-demand risk.</w:t>
      </w:r>
    </w:p>
    <w:p>
      <w:pPr>
        <w:pStyle w:val="Heading3"/>
      </w:pPr>
      <w:r>
        <w:t>Battlecard deltas</w:t>
      </w:r>
    </w:p>
    <w:p>
      <w:pPr>
        <w:pStyle w:val="ListBullet"/>
      </w:pPr>
      <w:r>
        <w:rPr>
          <w:b/>
        </w:rPr>
        <w:t>accelerator_supply</w:t>
      </w:r>
      <w:r>
        <w:t xml:space="preserve"> (→ Trainium2/3, P5/P6 capacity, Capacity Blocks):</w:t>
      </w:r>
    </w:p>
    <w:p>
      <w:r>
        <w:t>This is the single most usable line in the deck. Google is now on-record</w:t>
      </w:r>
    </w:p>
    <w:p>
      <w:r>
        <w:t>turning away Cloud revenue for lack of capacity. If AWS has shorter lead</w:t>
      </w:r>
    </w:p>
    <w:p>
      <w:r>
        <w:t>times or committed capacity (Capacity Blocks) in a contested region, that</w:t>
      </w:r>
    </w:p>
    <w:p>
      <w:r>
        <w:t>is a directly quotable counter to a prospect citing GCP AI momentum — the</w:t>
      </w:r>
    </w:p>
    <w:p>
      <w:r>
        <w:t>momentum is real, but so is the admitted supply gap. Concession: this cuts</w:t>
      </w:r>
    </w:p>
    <w:p>
      <w:r>
        <w:t>both ways — a customer already committed to GCP with backlog priority may</w:t>
      </w:r>
    </w:p>
    <w:p>
      <w:r>
        <w:t>get preferential allocation over a net-new AWS evaluation running the same</w:t>
      </w:r>
    </w:p>
    <w:p>
      <w:r>
        <w:t>capacity argument in reverse.</w:t>
      </w:r>
    </w:p>
    <w:p>
      <w:pPr>
        <w:pStyle w:val="ListBullet"/>
      </w:pPr>
      <w:r>
        <w:rPr>
          <w:b/>
        </w:rPr>
        <w:t>ai_inference_price</w:t>
      </w:r>
      <w:r>
        <w:t xml:space="preserve"> (→ Bedrock, Trainium, Inferentia): TPU generational</w:t>
      </w:r>
    </w:p>
    <w:p>
      <w:r>
        <w:t>claims (8t/8i vs Ironwood) will show up in bake-off deck slides. No public</w:t>
      </w:r>
    </w:p>
    <w:p>
      <w:r>
        <w:t>per-token GCP pricing moved this quarter (that's still tracked on</w:t>
      </w:r>
    </w:p>
    <w:p>
      <w:r>
        <w:t>`gcp_pricing_vertex`, unchanged this run) — so this is a performance claim</w:t>
      </w:r>
    </w:p>
    <w:p>
      <w:r>
        <w:t>to probe, not a price commitment to match.</w:t>
      </w:r>
    </w:p>
    <w:p>
      <w:pPr>
        <w:pStyle w:val="ListBullet"/>
      </w:pPr>
      <w:r>
        <w:rPr>
          <w:b/>
        </w:rPr>
        <w:t>agent_platform</w:t>
      </w:r>
      <w:r>
        <w:t xml:space="preserve"> (→ Bedrock AgentCore, Strands, MCP support): the 90%</w:t>
      </w:r>
    </w:p>
    <w:p>
      <w:r>
        <w:t>Fortune 100 Gemini Enterprise adoption stat will get quoted by GCP reps as</w:t>
      </w:r>
    </w:p>
    <w:p>
      <w:r>
        <w:t>proof of enterprise agent traction. Concession: that adoption figure is</w:t>
      </w:r>
    </w:p>
    <w:p>
      <w:r>
        <w:t>real reach even if it's not yet a revenue or deployment-depth metric — AWS</w:t>
      </w:r>
    </w:p>
    <w:p>
      <w:r>
        <w:t>reps should be ready to ask "adoption of what, at what depth" rather than</w:t>
      </w:r>
    </w:p>
    <w:p>
      <w:r>
        <w:t>dismiss it outright.</w:t>
      </w:r>
    </w:p>
    <w:p>
      <w:pPr>
        <w:pStyle w:val="ListBullet"/>
      </w:pPr>
      <w:r>
        <w:rPr>
          <w:b/>
        </w:rPr>
        <w:t>compute_price, data_gravity, egress_terms</w:t>
      </w:r>
      <w:r>
        <w:t>: no earnings-call content</w:t>
      </w:r>
    </w:p>
    <w:p>
      <w:r>
        <w:t>this quarter maps to these — dropped, not because nothing happened, but</w:t>
      </w:r>
    </w:p>
    <w:p>
      <w:r>
        <w:t>because the call didn't speak to them.</w:t>
      </w:r>
    </w:p>
    <w:p>
      <w:pPr>
        <w:pStyle w:val="Heading3"/>
      </w:pPr>
      <w:r>
        <w:t>Strategic read</w:t>
      </w:r>
    </w:p>
    <w:p>
      <w:r>
        <w:t>Google is choosing to compete on scale and is telling the market it is</w:t>
      </w:r>
    </w:p>
    <w:p>
      <w:r>
        <w:t>supply-constrained, not demand-constrained — a materially stronger position</w:t>
      </w:r>
    </w:p>
    <w:p>
      <w:r>
        <w:t>than a quarter ago, and the capex raise says they believe it. The honest</w:t>
      </w:r>
    </w:p>
    <w:p>
      <w:r>
        <w:t>read for AWS sellers: GCP's AI infrastructure story converted from marketing</w:t>
      </w:r>
    </w:p>
    <w:p>
      <w:r>
        <w:t>claim to audited financial fact this quarter (backlog, margin, and revenue</w:t>
      </w:r>
    </w:p>
    <w:p>
      <w:r>
        <w:t>all moved together), which raises the bar on infra credibility arguments</w:t>
      </w:r>
    </w:p>
    <w:p>
      <w:r>
        <w:t>generally — including AWS's own. Where Google is still exposed is execution</w:t>
      </w:r>
    </w:p>
    <w:p>
      <w:r>
        <w:t>risk on that $205B capex converting to actually-available capacity fast</w:t>
      </w:r>
    </w:p>
    <w:p>
      <w:r>
        <w:t>enough to clear a $514B backlog; that gap is the honest opening, not a</w:t>
      </w:r>
    </w:p>
    <w:p>
      <w:r>
        <w:t>denial that the demand is real.</w:t>
      </w:r>
    </w:p>
    <w:p>
      <w:pPr>
        <w:pStyle w:val="Heading3"/>
      </w:pPr>
      <w:r>
        <w:t>Dropped (with one-line reason each)</w:t>
      </w:r>
    </w:p>
    <w:p>
      <w:pPr>
        <w:pStyle w:val="ListBullet"/>
      </w:pPr>
      <w:r>
        <w:t>YouTube ad sales (+13% YoY) — not a Cloud or enterprise infra signal.</w:t>
      </w:r>
    </w:p>
    <w:p>
      <w:pPr>
        <w:pStyle w:val="ListBullet"/>
      </w:pPr>
      <w:r>
        <w:t>Consolidated company revenue ($119.8B, +24%) and operating margin (34%,</w:t>
      </w:r>
    </w:p>
    <w:p>
      <w:r>
        <w:t>+2pt) — reported for context above but not itself a Cloud-specific,</w:t>
      </w:r>
    </w:p>
    <w:p>
      <w:r>
        <w:t>seller-actionable item.</w:t>
      </w:r>
    </w:p>
    <w:p>
      <w:pPr>
        <w:pStyle w:val="ListBullet"/>
      </w:pPr>
      <w:r>
        <w:t>Gemini App 950M MAU, 22B tokens/min — consumer-scale usage stats, no</w:t>
      </w:r>
    </w:p>
    <w:p>
      <w:r>
        <w:t>stated line to an AWS enterprise deal.</w:t>
      </w:r>
    </w:p>
    <w:p>
      <w:r>
        <w:t>________________________________________</w:t>
      </w:r>
    </w:p>
    <w:p>
      <w:r>
        <w:rPr>
          <w:b/>
        </w:rPr>
        <w:t>Note on process</w:t>
      </w:r>
      <w:r>
        <w:t>: `sources/gcp.yaml`'s `alphabet_earnings` entry previously</w:t>
      </w:r>
    </w:p>
    <w:p>
      <w:r>
        <w:t>pointed at `abc.xyz/investor/`, a JS-rendered page that never actually</w:t>
      </w:r>
    </w:p>
    <w:p>
      <w:r>
        <w:t>surfaces quarter-specific content in a static fetch (confirmed: identical</w:t>
      </w:r>
    </w:p>
    <w:p>
      <w:r>
        <w:t>~1.6KB nav shell regardless of quarter). It has been repointed to SEC</w:t>
      </w:r>
    </w:p>
    <w:p>
      <w:r>
        <w:t>EDGAR's 8-K filing index for Alphabet (CIK 0001652044), which is static</w:t>
      </w:r>
    </w:p>
    <w:p>
      <w:r>
        <w:t>server-rendered HTML and gains a new row — new accession number, new filing</w:t>
      </w:r>
    </w:p>
    <w:p>
      <w:r>
        <w:t>date — the day of every earnings release. That page only signals "a release</w:t>
      </w:r>
    </w:p>
    <w:p>
      <w:r>
        <w:t>just dropped," not the figures themselves, so it will trigger a real</w:t>
      </w:r>
    </w:p>
    <w:p>
      <w:r>
        <w:t>COMMITMENT-tier diff next quarter (unlike the old URL, which never would</w:t>
      </w:r>
    </w:p>
    <w:p>
      <w:r>
        <w:t>have), at which point the pipeline's own triage/analyze stages take over.</w:t>
      </w:r>
    </w:p>
    <w:p>
      <w:r>
        <w:t>This brief was produced by manually researching this quarter's already-public</w:t>
      </w:r>
    </w:p>
    <w:p>
      <w:r>
        <w:t>results rather than waiting for that mechanism, since today's release predates</w:t>
      </w:r>
    </w:p>
    <w:p>
      <w:r>
        <w:t>the fix.</w:t>
      </w:r>
    </w:p>
    <w:p>
      <w:r>
        <w:t>Sources:</w:t>
      </w:r>
    </w:p>
    <w:p>
      <w:pPr>
        <w:pStyle w:val="ListBullet"/>
      </w:pPr>
      <w:r>
        <w:t>[Alphabet Q2 2026 earnings: revenue up 24%, Cloud surges 82%](https://finance.yahoo.com/markets/stocks/articles/alphabet-q2-2026-earnings-revenue-203058727.html)</w:t>
      </w:r>
    </w:p>
    <w:p>
      <w:pPr>
        <w:pStyle w:val="ListBullet"/>
      </w:pPr>
      <w:r>
        <w:t>[Alphabet reports Q2 2026 revenue of $119.8 billion](https://9to5google.com/2026/07/22/alphabet-q2-2026-earnings/)</w:t>
      </w:r>
    </w:p>
    <w:p>
      <w:pPr>
        <w:pStyle w:val="ListBullet"/>
      </w:pPr>
      <w:r>
        <w:t>[Google Q2 Cloud Revenue Surges 82%](https://www.tradingkey.com/analysis/stocks/us-stocks/262048041-google-earnings-report-q2-2026-goog-googl-services-cloud-search-capital-expenditures-tradingkey)</w:t>
      </w:r>
    </w:p>
    <w:p>
      <w:pPr>
        <w:pStyle w:val="ListBullet"/>
      </w:pPr>
      <w:r>
        <w:t>[Alphabet earnings updates: Stock sinks during analyst call as company hikes 2026 capex](https://www.cnbc.com/2026/07/22/google-earnings-q2-goog-live-updates.html)</w:t>
      </w:r>
    </w:p>
    <w:p>
      <w:pPr>
        <w:pStyle w:val="ListBullet"/>
      </w:pPr>
      <w:r>
        <w:t>[Alphabet Announces Second Quarter 2026 Results (SEC IR page)](https://abc.xyz/investor/news/news-details/2026/Alphabet-Announces-Second-Quarter-2026-Results-2026-Y3uQ6H4ZJa/default.aspx)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