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Google Cloud Technical &amp; Pricing Battlecards — 2026-07-22</w:t>
      </w:r>
    </w:p>
    <w:p>
      <w:pPr>
        <w:pStyle w:val="Heading2"/>
      </w:pPr>
      <w:r>
        <w:t>Google Cloud Competitive Brief — AWS Field Team — Week of 2026-07-22</w:t>
      </w:r>
    </w:p>
    <w:p>
      <w:r>
        <w:rPr>
          <w:b/>
        </w:rPr>
        <w:t>Data caveat (read first):</w:t>
      </w:r>
      <w:r>
        <w:t xml:space="preserve"> All four sources this week are baseline captures (first look, no prior diff). "Added" content is a snapshot mined for material signals, </w:t>
      </w:r>
      <w:r>
        <w:rPr>
          <w:b/>
        </w:rPr>
        <w:t>not</w:t>
      </w:r>
      <w:r>
        <w:t xml:space="preserve"> literal week-over-week deltas. No price *deltas* are computable this week — prior captured values do not exist in `state/`. Prices below are stated as captured values with units. Next week's run will produce true diffs against this baseline.</w:t>
      </w:r>
    </w:p>
    <w:p>
      <w:r>
        <w:t>Sources: `state/_candidates.json`, `sources/gcp.yaml`</w:t>
      </w:r>
    </w:p>
    <w:p>
      <w:pPr>
        <w:pStyle w:val="Heading3"/>
      </w:pPr>
      <w:r>
        <w:t>TL;DR</w:t>
      </w:r>
    </w:p>
    <w:p>
      <w:pPr>
        <w:pStyle w:val="ListBullet"/>
      </w:pPr>
      <w:r>
        <w:rPr>
          <w:b/>
        </w:rPr>
        <w:t>Google is retiring 16 open-model Vertex MaaS endpoints on Oct 21, 2026</w:t>
      </w:r>
      <w:r>
        <w:t xml:space="preserve"> (DeepSeek, Llama 3.3 70B, Qwen3, GLM, Kimi K2, MiniMax, GPT-OSS, E5 embeddings). Every Vertex customer running open models has a forced migration in ~15 months. Direct Bedrock model-choice wedge — usable *now* in bake-offs and renewals.</w:t>
      </w:r>
    </w:p>
    <w:p>
      <w:pPr>
        <w:pStyle w:val="ListBullet"/>
      </w:pPr>
      <w:r>
        <w:rPr>
          <w:b/>
        </w:rPr>
        <w:t>CSEK (customer-supplied encryption keys) is deprecated on Compute Engine and will be disabled July 20, 2027.</w:t>
      </w:r>
      <w:r>
        <w:t xml:space="preserve"> Regulated customers who chose GCP for hold-your-own-key control lose it. Renewal-stage opening.</w:t>
      </w:r>
    </w:p>
    <w:p>
      <w:pPr>
        <w:pStyle w:val="ListBullet"/>
      </w:pPr>
      <w:r>
        <w:rPr>
          <w:b/>
        </w:rPr>
        <w:t>Google SecOps legacy SIEM APIs (Backstory/Ingestion) turn down July 20, 2027</w:t>
      </w:r>
      <w:r>
        <w:t>; new instances lose them Oct 26, 2026. Every custom SOC integration must be rewritten regardless of vendor — that rewrite window is a migration-evaluation window.</w:t>
      </w:r>
    </w:p>
    <w:p>
      <w:pPr>
        <w:pStyle w:val="ListBullet"/>
      </w:pPr>
      <w:r>
        <w:rPr>
          <w:b/>
        </w:rPr>
        <w:t>Gemini Enterprise seat pricing is now published: $21/seat/mo (Business) and $30/seat/mo (Standard/Plus)</w:t>
      </w:r>
      <w:r>
        <w:t xml:space="preserve"> — Google has committed to a per-seat agent-platform price point that will show up in Amazon Q / Bedrock AgentCore deals. Watch item this week; expect it in discovery calls immediately.</w:t>
      </w:r>
    </w:p>
    <w:p>
      <w:pPr>
        <w:pStyle w:val="ListBullet"/>
      </w:pPr>
      <w:r>
        <w:rPr>
          <w:b/>
        </w:rPr>
        <w:t>New Gemini Flash GAs come with a sampling-parameter lockdown</w:t>
      </w:r>
      <w:r>
        <w:t xml:space="preserve"> (temperature/top-K/top-P ignored) and Gemini 3.5 Flash is removed from the Global region Aug 4, 2026 — model churn plus reduced control is a portability talking point.</w:t>
      </w:r>
    </w:p>
    <w:p>
      <w:pPr>
        <w:pStyle w:val="Heading3"/>
      </w:pPr>
      <w:r>
        <w:t>Material changes (COMMITMENT)</w:t>
      </w:r>
    </w:p>
    <w:p>
      <w:r>
        <w:t>Ranked by severity. All items T1 unless noted.</w:t>
      </w:r>
    </w:p>
    <w:p>
      <w:pPr>
        <w:pStyle w:val="Heading4"/>
      </w:pPr>
      <w:r>
        <w:t>1. Vertex AI open-model MaaS endpoint retirement — Oct 21, 2026</w:t>
      </w:r>
    </w:p>
    <w:p>
      <w:pPr>
        <w:pStyle w:val="ListBullet"/>
      </w:pPr>
      <w:r>
        <w:rPr>
          <w:b/>
        </w:rPr>
        <w:t>What changed:</w:t>
      </w:r>
      <w:r>
        <w:t xml:space="preserve"> 16 model-as-a-service endpoints deprecated, retirement Oct 21, 2026: `deepseek-ocr`, `deepseek-r1-0528`, `deepseek-v3.2`, `deepseek-v3.1`, `glm-5`, `glm-4.7`, `gpt-oss-20b`, `kimi-k2-thinking`, `llama-3.3-70b-instruct`, `minimax-m2`, `multilingual-e5-large/small`, and four Qwen3 variants (incl. `qwen3-coder-480b`). (T1, gcp_release_notes_all)</w:t>
      </w:r>
    </w:p>
    <w:p>
      <w:pPr>
        <w:pStyle w:val="ListBullet"/>
      </w:pPr>
      <w:r>
        <w:rPr>
          <w:b/>
        </w:rPr>
        <w:t>Theme / AWS counterpart:</w:t>
      </w:r>
      <w:r>
        <w:t xml:space="preserve"> ai_inference_price → </w:t>
      </w:r>
      <w:r>
        <w:rPr>
          <w:b/>
        </w:rPr>
        <w:t>Bedrock, Trainium, Inferentia</w:t>
      </w:r>
      <w:r>
        <w:t>. Deal stage: bake-off and migration.</w:t>
      </w:r>
    </w:p>
    <w:p>
      <w:pPr>
        <w:pStyle w:val="ListBullet"/>
      </w:pPr>
      <w:r>
        <w:rPr>
          <w:b/>
        </w:rPr>
        <w:t>What it means:</w:t>
      </w:r>
      <w:r>
        <w:t xml:space="preserve"> Google is consolidating serving capacity behind Gemini. Any customer with production traffic on these endpoints — especially DeepSeek, Llama, and Qwen coder workloads — must re-platform within 15 months. Re-platforming to another Vertex endpoint is not free; re-platforming to Bedrock is the same work.</w:t>
      </w:r>
    </w:p>
    <w:p>
      <w:pPr>
        <w:pStyle w:val="ListBullet"/>
      </w:pPr>
      <w:r>
        <w:rPr>
          <w:b/>
        </w:rPr>
        <w:t>Talk track:</w:t>
      </w:r>
      <w:r>
        <w:t xml:space="preserve"> "Google just gave your open-model workloads an eviction date. If you have to migrate anyway, migrate to the platform whose business model depends on model choice — Bedrock serves DeepSeek, Llama, Qwen, and Kimi as first-class managed models, and open weights can run on Trainium/Inferentia for price control."</w:t>
      </w:r>
    </w:p>
    <w:p>
      <w:pPr>
        <w:pStyle w:val="ListBullet"/>
      </w:pPr>
      <w:r>
        <w:rPr>
          <w:b/>
        </w:rPr>
        <w:t>Honest concession:</w:t>
      </w:r>
      <w:r>
        <w:t xml:space="preserve"> Gemini Flash-class models are genuinely strong on price-performance, and Google will pitch the retirement as "we'll move you to something cheaper and better." Don't claim the customer's workload will regress — claim they've lost the *option*, and options have contract value.</w:t>
      </w:r>
    </w:p>
    <w:p>
      <w:pPr>
        <w:pStyle w:val="Heading4"/>
      </w:pPr>
      <w:r>
        <w:t>2. Compute Engine CSEK deprecation — disabled July 20, 2027</w:t>
      </w:r>
    </w:p>
    <w:p>
      <w:pPr>
        <w:pStyle w:val="ListBullet"/>
      </w:pPr>
      <w:r>
        <w:rPr>
          <w:b/>
        </w:rPr>
        <w:t>What changed:</w:t>
      </w:r>
      <w:r>
        <w:t xml:space="preserve"> Encrypting disks, snapshots, images, and machine images with customer-supplied encryption keys is deprecated and will be </w:t>
      </w:r>
      <w:r>
        <w:rPr>
          <w:b/>
        </w:rPr>
        <w:t>disabled July 20, 2027</w:t>
      </w:r>
      <w:r>
        <w:t>. The matching `gcloud` flags are already deprecated. (T1, gcp_release_notes_all)</w:t>
      </w:r>
    </w:p>
    <w:p>
      <w:pPr>
        <w:pStyle w:val="ListBullet"/>
      </w:pPr>
      <w:r>
        <w:rPr>
          <w:b/>
        </w:rPr>
        <w:t>Theme / AWS counterpart:</w:t>
      </w:r>
      <w:r>
        <w:t xml:space="preserve"> compute_price / trust-and-control adjacency → </w:t>
      </w:r>
      <w:r>
        <w:rPr>
          <w:b/>
        </w:rPr>
        <w:t>EC2</w:t>
      </w:r>
      <w:r>
        <w:t xml:space="preserve"> (EBS + KMS, incl. external key stores). Deal stage: renewal, especially regulated verticals (finserv, public sector, healthcare).</w:t>
      </w:r>
    </w:p>
    <w:p>
      <w:pPr>
        <w:pStyle w:val="ListBullet"/>
      </w:pPr>
      <w:r>
        <w:rPr>
          <w:b/>
        </w:rPr>
        <w:t>What it means:</w:t>
      </w:r>
      <w:r>
        <w:t xml:space="preserve"> Customers who architected on GCP specifically because they could supply their own key material at the resource level are being pushed to CMEK (Google-managed KMS with customer keys). For some compliance postures that is a material change requiring re-review — which reopens the platform decision.</w:t>
      </w:r>
    </w:p>
    <w:p>
      <w:pPr>
        <w:pStyle w:val="ListBullet"/>
      </w:pPr>
      <w:r>
        <w:rPr>
          <w:b/>
        </w:rPr>
        <w:t>Talk track:</w:t>
      </w:r>
      <w:r>
        <w:t xml:space="preserve"> "Your key-custody model on GCP has an end date. Before you re-architect around Google's KMS, this is the moment to re-evaluate — AWS KMS supports external key stores (XKS) where key material never leaves your HSM, and that capability has no deprecation notice."</w:t>
      </w:r>
    </w:p>
    <w:p>
      <w:pPr>
        <w:pStyle w:val="ListBullet"/>
      </w:pPr>
      <w:r>
        <w:rPr>
          <w:b/>
        </w:rPr>
        <w:t>Honest concession:</w:t>
      </w:r>
      <w:r>
        <w:t xml:space="preserve"> CMEK with Cloud EKM covers most of the same compliance ground, and AWS also steers customers toward KMS-managed patterns over raw supplied keys (SSE-C is narrow). The wedge is the *forced re-review*, not a capability GCP can't match.</w:t>
      </w:r>
    </w:p>
    <w:p>
      <w:pPr>
        <w:pStyle w:val="Heading4"/>
      </w:pPr>
      <w:r>
        <w:t>3. Google SecOps legacy SIEM API turndown</w:t>
      </w:r>
    </w:p>
    <w:p>
      <w:pPr>
        <w:pStyle w:val="ListBullet"/>
      </w:pPr>
      <w:r>
        <w:rPr>
          <w:b/>
        </w:rPr>
        <w:t>What changed:</w:t>
      </w:r>
      <w:r>
        <w:t xml:space="preserve"> Backstory API (incl. Customer Management API) and Ingestion API deprecated in favor of Chronicle API. </w:t>
      </w:r>
      <w:r>
        <w:rPr>
          <w:b/>
        </w:rPr>
        <w:t>Oct 26, 2026:</w:t>
      </w:r>
      <w:r>
        <w:t xml:space="preserve"> new SecOps instances won't support legacy calls. </w:t>
      </w:r>
      <w:r>
        <w:rPr>
          <w:b/>
        </w:rPr>
        <w:t>July 20, 2027:</w:t>
      </w:r>
      <w:r>
        <w:t xml:space="preserve"> all legacy endpoints fail for everyone. Applies to custom scripts, integrations, SOAR connectors, ingestion feeds. (T1, gcp_release_notes_all)</w:t>
      </w:r>
    </w:p>
    <w:p>
      <w:pPr>
        <w:pStyle w:val="ListBullet"/>
      </w:pPr>
      <w:r>
        <w:rPr>
          <w:b/>
        </w:rPr>
        <w:t>Theme / AWS counterpart:</w:t>
      </w:r>
      <w:r>
        <w:t xml:space="preserve"> No direct battlecard_map theme — closest is data_gravity (security telemetry pipelines) → </w:t>
      </w:r>
      <w:r>
        <w:rPr>
          <w:b/>
        </w:rPr>
        <w:t>S3 / Glue</w:t>
      </w:r>
      <w:r>
        <w:t xml:space="preserve"> via Amazon Security Lake (OCSF). Deal stage: renewal.</w:t>
      </w:r>
    </w:p>
    <w:p>
      <w:pPr>
        <w:pStyle w:val="ListBullet"/>
      </w:pPr>
      <w:r>
        <w:rPr>
          <w:b/>
        </w:rPr>
        <w:t>What it means:</w:t>
      </w:r>
      <w:r>
        <w:t xml:space="preserve"> Every SecOps customer with custom ingestion or SOAR integrations has a mandatory engineering project. Mandatory rewrites are when SOC teams run alternatives.</w:t>
      </w:r>
    </w:p>
    <w:p>
      <w:pPr>
        <w:pStyle w:val="ListBullet"/>
      </w:pPr>
      <w:r>
        <w:rPr>
          <w:b/>
        </w:rPr>
        <w:t>Talk track:</w:t>
      </w:r>
      <w:r>
        <w:t xml:space="preserve"> "You're going to rewrite your ingestion pipelines either way. Security Lake normalizes to OCSF — an open schema — so the next rewrite is the last one tied to a vendor's proprietary API."</w:t>
      </w:r>
    </w:p>
    <w:p>
      <w:pPr>
        <w:pStyle w:val="ListBullet"/>
      </w:pPr>
      <w:r>
        <w:rPr>
          <w:b/>
        </w:rPr>
        <w:t>Honest concession:</w:t>
      </w:r>
      <w:r>
        <w:t xml:space="preserve"> Chronicle API is a genuine modernization, migration is API-level not data-level, and Security Lake is a data layer, not a SIEM — the customer still needs analytics on top. Don't oversell it as a Chronicle replacement.</w:t>
      </w:r>
    </w:p>
    <w:p>
      <w:pPr>
        <w:pStyle w:val="Heading4"/>
      </w:pPr>
      <w:r>
        <w:t>4. Batch resource-location breaking change</w:t>
      </w:r>
    </w:p>
    <w:p>
      <w:pPr>
        <w:pStyle w:val="ListBullet"/>
      </w:pPr>
      <w:r>
        <w:rPr>
          <w:b/>
        </w:rPr>
        <w:t>What changed:</w:t>
      </w:r>
      <w:r>
        <w:t xml:space="preserve"> Batch jobs can no longer create Compute Engine resources outside the job's region. Grandfathered projects (used `allowedLocations[]` cross-region before July 31, 2026) get until </w:t>
      </w:r>
      <w:r>
        <w:rPr>
          <w:b/>
        </w:rPr>
        <w:t>June 30, 2027</w:t>
      </w:r>
      <w:r>
        <w:t>; everyone else sooner. (T1, gcp_release_notes_all)</w:t>
      </w:r>
    </w:p>
    <w:p>
      <w:pPr>
        <w:pStyle w:val="ListBullet"/>
      </w:pPr>
      <w:r>
        <w:rPr>
          <w:b/>
        </w:rPr>
        <w:t>Theme / AWS counterpart:</w:t>
      </w:r>
      <w:r>
        <w:t xml:space="preserve"> accelerator_supply → </w:t>
      </w:r>
      <w:r>
        <w:rPr>
          <w:b/>
        </w:rPr>
        <w:t>Capacity Blocks, P5/P6 capacity</w:t>
      </w:r>
      <w:r>
        <w:t xml:space="preserve"> (cross-region capacity chasing is how customers cope with GPU scarcity). Deal stage: migration/bake-off for HPC and training-adjacent batch.</w:t>
      </w:r>
    </w:p>
    <w:p>
      <w:pPr>
        <w:pStyle w:val="ListBullet"/>
      </w:pPr>
      <w:r>
        <w:rPr>
          <w:b/>
        </w:rPr>
        <w:t>What it means:</w:t>
      </w:r>
      <w:r>
        <w:t xml:space="preserve"> Customers who used cross-region `allowedLocations[]` to hunt GPU/CPU capacity wherever it existed lose that flexibility. On a supply-constrained platform, removing "run it wherever there's capacity" is a real operational regression.</w:t>
      </w:r>
    </w:p>
    <w:p>
      <w:pPr>
        <w:pStyle w:val="ListBullet"/>
      </w:pPr>
      <w:r>
        <w:rPr>
          <w:b/>
        </w:rPr>
        <w:t>Talk track:</w:t>
      </w:r>
      <w:r>
        <w:t xml:space="preserve"> "If your batch jobs chase capacity across regions today, GCP is taking that away. AWS Batch has no such restriction, and Capacity Blocks let you *reserve* accelerator capacity ahead of time instead of hunting for it."</w:t>
      </w:r>
    </w:p>
    <w:p>
      <w:pPr>
        <w:pStyle w:val="ListBullet"/>
      </w:pPr>
      <w:r>
        <w:rPr>
          <w:b/>
        </w:rPr>
        <w:t>Honest concession:</w:t>
      </w:r>
      <w:r>
        <w:t xml:space="preserve"> Most Batch users run in-region already; this bites a minority — but that minority is exactly the capacity-constrained, high-spend accelerator segment.</w:t>
      </w:r>
    </w:p>
    <w:p>
      <w:pPr>
        <w:pStyle w:val="Heading4"/>
      </w:pPr>
      <w:r>
        <w:t>5. Pricing snapshots captured (baseline — structure, not deltas)</w:t>
      </w:r>
    </w:p>
    <w:p>
      <w:pPr>
        <w:pStyle w:val="ListBullet"/>
      </w:pPr>
      <w:r>
        <w:rPr>
          <w:b/>
        </w:rPr>
        <w:t>What changed:</w:t>
      </w:r>
      <w:r>
        <w:t xml:space="preserve"> First capture of GCP compute and Vertex pricing pages. Notables: Spot up to </w:t>
      </w:r>
      <w:r>
        <w:rPr>
          <w:b/>
        </w:rPr>
        <w:t>91% off</w:t>
      </w:r>
      <w:r>
        <w:t xml:space="preserve"> on-demand; CUDs up to </w:t>
      </w:r>
      <w:r>
        <w:rPr>
          <w:b/>
        </w:rPr>
        <w:t>70%</w:t>
      </w:r>
      <w:r>
        <w:t xml:space="preserve"> (memory-optimized) / </w:t>
      </w:r>
      <w:r>
        <w:rPr>
          <w:b/>
        </w:rPr>
        <w:t>55%</w:t>
      </w:r>
      <w:r>
        <w:t xml:space="preserve"> (other); spend-based "Compute flexible CUDs" (Savings-Plans-analog). Vertex accelerators (us-central1, hourly, USD): H100 80GB </w:t>
      </w:r>
      <w:r>
        <w:rPr>
          <w:b/>
        </w:rPr>
        <w:t>$9.797 + $1.469 management fee</w:t>
      </w:r>
      <w:r>
        <w:t xml:space="preserve">, H100 Mega </w:t>
      </w:r>
      <w:r>
        <w:rPr>
          <w:b/>
        </w:rPr>
        <w:t>$11.896</w:t>
      </w:r>
      <w:r>
        <w:t xml:space="preserve">, H200 141GB </w:t>
      </w:r>
      <w:r>
        <w:rPr>
          <w:b/>
        </w:rPr>
        <w:t>$10.709</w:t>
      </w:r>
      <w:r>
        <w:t xml:space="preserve">, a3-highgpu-8g </w:t>
      </w:r>
      <w:r>
        <w:rPr>
          <w:b/>
        </w:rPr>
        <w:t>$101.007</w:t>
      </w:r>
      <w:r>
        <w:t xml:space="preserve">, a4-highgpu-8g </w:t>
      </w:r>
      <w:r>
        <w:rPr>
          <w:b/>
        </w:rPr>
        <w:t>$148.212</w:t>
      </w:r>
      <w:r>
        <w:t xml:space="preserve">, TPU v5e 1-chip </w:t>
      </w:r>
      <w:r>
        <w:rPr>
          <w:b/>
        </w:rPr>
        <w:t>$1.38</w:t>
      </w:r>
      <w:r>
        <w:t xml:space="preserve">, TPU v6e 1-chip </w:t>
      </w:r>
      <w:r>
        <w:rPr>
          <w:b/>
        </w:rPr>
        <w:t>$3.105</w:t>
      </w:r>
      <w:r>
        <w:t xml:space="preserve">, </w:t>
      </w:r>
      <w:r>
        <w:rPr>
          <w:b/>
        </w:rPr>
        <w:t>tpu7x (Ironwood-class) 1-chip $13.80</w:t>
      </w:r>
      <w:r>
        <w:t>. Gemini Enterprise Agent Platform pricing page is live. (T1, gcp_pricing_compute + gcp_pricing_vertex)</w:t>
      </w:r>
    </w:p>
    <w:p>
      <w:pPr>
        <w:pStyle w:val="ListBullet"/>
      </w:pPr>
      <w:r>
        <w:rPr>
          <w:b/>
        </w:rPr>
        <w:t>Theme / AWS counterpart:</w:t>
      </w:r>
      <w:r>
        <w:t xml:space="preserve"> compute_price → </w:t>
      </w:r>
      <w:r>
        <w:rPr>
          <w:b/>
        </w:rPr>
        <w:t>EC2, Savings Plans, Graviton</w:t>
      </w:r>
      <w:r>
        <w:t xml:space="preserve">; accelerator_supply → </w:t>
      </w:r>
      <w:r>
        <w:rPr>
          <w:b/>
        </w:rPr>
        <w:t>Trainium2/3, P5/P6, Capacity Blocks</w:t>
      </w:r>
      <w:r>
        <w:t>.</w:t>
      </w:r>
    </w:p>
    <w:p>
      <w:pPr>
        <w:pStyle w:val="ListBullet"/>
      </w:pPr>
      <w:r>
        <w:rPr>
          <w:b/>
        </w:rPr>
        <w:t>What it means:</w:t>
      </w:r>
      <w:r>
        <w:t xml:space="preserve"> Cannot state increases/decreases — no prior values in `state/`. What *is* material: Google publishes list pricing for its newest TPU generation (tpu7x at $13.80/chip-hr) and per-GPU management fees on Vertex. The Vertex </w:t>
      </w:r>
      <w:r>
        <w:rPr>
          <w:b/>
        </w:rPr>
        <w:t>management fee on H100 (+$1.47/hr, ~15% on top of the GPU rate)</w:t>
      </w:r>
      <w:r>
        <w:t xml:space="preserve"> is a line item customers often miss in Google quotes.</w:t>
      </w:r>
    </w:p>
    <w:p>
      <w:pPr>
        <w:pStyle w:val="ListBullet"/>
      </w:pPr>
      <w:r>
        <w:rPr>
          <w:b/>
        </w:rPr>
        <w:t>Talk track:</w:t>
      </w:r>
      <w:r>
        <w:t xml:space="preserve"> "When you compare that Vertex quote, check for the per-hour management fee on managed prediction — it's a separate SKU on top of the accelerator rate. Ask for the fully-loaded per-hour number, then let's compare against SageMaker/Bedrock fully loaded."</w:t>
      </w:r>
    </w:p>
    <w:p>
      <w:pPr>
        <w:pStyle w:val="ListBullet"/>
      </w:pPr>
      <w:r>
        <w:rPr>
          <w:b/>
        </w:rPr>
        <w:t>Honest concession:</w:t>
      </w:r>
      <w:r>
        <w:t xml:space="preserve"> Google's TPU list-price transparency is better than ours for Trainium — sellers should expect customers to ask "what's the equivalent AWS list price per chip-hour" and should have the Trainium2/UltraServer answer ready rather than deflecting. Spot-discount headlines (91% vs our ~90%) are noise; steer to workload-level TCO.</w:t>
      </w:r>
    </w:p>
    <w:p>
      <w:r>
        <w:rPr>
          <w:b/>
        </w:rPr>
        <w:t>Migration-friction date table (for QBR slides):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GCP change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Customers affected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Hard date</w:t>
            </w:r>
          </w:p>
        </w:tc>
      </w:tr>
      <w:tr>
        <w:tc>
          <w:tcPr>
            <w:tcW w:type="dxa" w:w="2880"/>
          </w:tcPr>
          <w:p>
            <w:r>
              <w:t>Gemini 3.5 Flash removed (Global region, Gemini Enterprise)</w:t>
            </w:r>
          </w:p>
        </w:tc>
        <w:tc>
          <w:tcPr>
            <w:tcW w:type="dxa" w:w="2880"/>
          </w:tcPr>
          <w:p>
            <w:r>
              <w:t>Gemini Enterprise app users</w:t>
            </w:r>
          </w:p>
        </w:tc>
        <w:tc>
          <w:tcPr>
            <w:tcW w:type="dxa" w:w="2880"/>
          </w:tcPr>
          <w:p>
            <w:r>
              <w:t>Aug 4, 2026</w:t>
            </w:r>
          </w:p>
        </w:tc>
      </w:tr>
      <w:tr>
        <w:tc>
          <w:tcPr>
            <w:tcW w:type="dxa" w:w="2880"/>
          </w:tcPr>
          <w:p>
            <w:r>
              <w:t>16 open-model MaaS endpoints retired</w:t>
            </w:r>
          </w:p>
        </w:tc>
        <w:tc>
          <w:tcPr>
            <w:tcW w:type="dxa" w:w="2880"/>
          </w:tcPr>
          <w:p>
            <w:r>
              <w:t>Vertex open-model inference</w:t>
            </w:r>
          </w:p>
        </w:tc>
        <w:tc>
          <w:tcPr>
            <w:tcW w:type="dxa" w:w="2880"/>
          </w:tcPr>
          <w:p>
            <w:r>
              <w:t>Oct 21, 2026</w:t>
            </w:r>
          </w:p>
        </w:tc>
      </w:tr>
      <w:tr>
        <w:tc>
          <w:tcPr>
            <w:tcW w:type="dxa" w:w="2880"/>
          </w:tcPr>
          <w:p>
            <w:r>
              <w:t>SecOps legacy APIs blocked on new instances</w:t>
            </w:r>
          </w:p>
        </w:tc>
        <w:tc>
          <w:tcPr>
            <w:tcW w:type="dxa" w:w="2880"/>
          </w:tcPr>
          <w:p>
            <w:r>
              <w:t>New SecOps provisioning</w:t>
            </w:r>
          </w:p>
        </w:tc>
        <w:tc>
          <w:tcPr>
            <w:tcW w:type="dxa" w:w="2880"/>
          </w:tcPr>
          <w:p>
            <w:r>
              <w:t>Oct 26, 2026</w:t>
            </w:r>
          </w:p>
        </w:tc>
      </w:tr>
      <w:tr>
        <w:tc>
          <w:tcPr>
            <w:tcW w:type="dxa" w:w="2880"/>
          </w:tcPr>
          <w:p>
            <w:r>
              <w:t>Batch cross-region resources (grandfathered)</w:t>
            </w:r>
          </w:p>
        </w:tc>
        <w:tc>
          <w:tcPr>
            <w:tcW w:type="dxa" w:w="2880"/>
          </w:tcPr>
          <w:p>
            <w:r>
              <w:t>Cross-region batch/HPC</w:t>
            </w:r>
          </w:p>
        </w:tc>
        <w:tc>
          <w:tcPr>
            <w:tcW w:type="dxa" w:w="2880"/>
          </w:tcPr>
          <w:p>
            <w:r>
              <w:t>June 30, 2027</w:t>
            </w:r>
          </w:p>
        </w:tc>
      </w:tr>
      <w:tr>
        <w:tc>
          <w:tcPr>
            <w:tcW w:type="dxa" w:w="2880"/>
          </w:tcPr>
          <w:p>
            <w:r>
              <w:t>CSEK disabled</w:t>
            </w:r>
          </w:p>
        </w:tc>
        <w:tc>
          <w:tcPr>
            <w:tcW w:type="dxa" w:w="2880"/>
          </w:tcPr>
          <w:p>
            <w:r>
              <w:t>Hold-your-own-key compute customers</w:t>
            </w:r>
          </w:p>
        </w:tc>
        <w:tc>
          <w:tcPr>
            <w:tcW w:type="dxa" w:w="2880"/>
          </w:tcPr>
          <w:p>
            <w:r>
              <w:t>July 20, 2027</w:t>
            </w:r>
          </w:p>
        </w:tc>
      </w:tr>
      <w:tr>
        <w:tc>
          <w:tcPr>
            <w:tcW w:type="dxa" w:w="2880"/>
          </w:tcPr>
          <w:p>
            <w:r>
              <w:t>SecOps legacy APIs fully turned down</w:t>
            </w:r>
          </w:p>
        </w:tc>
        <w:tc>
          <w:tcPr>
            <w:tcW w:type="dxa" w:w="2880"/>
          </w:tcPr>
          <w:p>
            <w:r>
              <w:t>All SecOps custom integrations</w:t>
            </w:r>
          </w:p>
        </w:tc>
        <w:tc>
          <w:tcPr>
            <w:tcW w:type="dxa" w:w="2880"/>
          </w:tcPr>
          <w:p>
            <w:r>
              <w:t>July 20, 2027</w:t>
            </w:r>
          </w:p>
        </w:tc>
      </w:tr>
    </w:tbl>
    <w:p>
      <w:pPr>
        <w:pStyle w:val="Heading3"/>
      </w:pPr>
      <w:r>
        <w:t>Watch (SIGNAL)</w:t>
      </w:r>
    </w:p>
    <w:p>
      <w:pPr>
        <w:pStyle w:val="ListBullet"/>
      </w:pPr>
      <w:r>
        <w:rPr>
          <w:b/>
        </w:rPr>
        <w:t>Gemini Enterprise seat pricing: $21/seat/mo (Business, 1–300 seats, 25 GiB pooled index/seat) and $30/seat/mo (Standard/Plus, unlimited seats, 75 GiB/seat, VPC-SC, CMEK, FedRAMP High/HIPAA support, Gemini Code Assist Standard, ADK/third-party agent bring-in).</w:t>
      </w:r>
      <w:r>
        <w:t xml:space="preserve"> (T2, gcp_agentspace) Theme: agent_platform → Bedrock AgentCore, Strands, MCP. This is a published committed price on a T2 marketing page — treat as near-COMMITMENT and expect it in Amazon Q Business / AgentCore discovery calls this quarter. Note the bundling: coding agent + enterprise search + agent runtime in one seat price is the pitch to counter. Track whether the $21/$30 numbers land on an official pricing page (T1) next capture.</w:t>
      </w:r>
    </w:p>
    <w:p>
      <w:pPr>
        <w:pStyle w:val="ListBullet"/>
      </w:pPr>
      <w:r>
        <w:rPr>
          <w:b/>
        </w:rPr>
        <w:t>Gemini 3.6 Flash + 3.5 Flash-Lite GA, with breaking sampling-parameter lockdown</w:t>
      </w:r>
      <w:r>
        <w:t xml:space="preserve"> — custom temperature/top-K/top-P are *ignored*. Paired with 3.5 Flash removal from Global region Aug 4, 2026, the pattern is fast model churn plus shrinking knob control. Talk track forming: "on Bedrock, model lifecycle and inference parameters stay under your control; ask Google for their model-deprecation SLA in writing." Watch whether the lockdown extends to Vertex API tiers broadly.</w:t>
      </w:r>
    </w:p>
    <w:p>
      <w:pPr>
        <w:pStyle w:val="ListBullet"/>
      </w:pPr>
      <w:r>
        <w:rPr>
          <w:b/>
        </w:rPr>
        <w:t>Cloud NGFW + WildFire</w:t>
      </w:r>
      <w:r>
        <w:t xml:space="preserve"> (Palo Alto malware analysis) — Google buying credibility in network security via partnership. Pressure point for AWS Network Firewall in security-led discovery. Watch for GA/pricing.</w:t>
      </w:r>
    </w:p>
    <w:p>
      <w:pPr>
        <w:pStyle w:val="ListBullet"/>
      </w:pPr>
      <w:r>
        <w:rPr>
          <w:b/>
        </w:rPr>
        <w:t>BYOIP IPv6 reservation for regional external passthrough NLB (Preview)</w:t>
      </w:r>
      <w:r>
        <w:t xml:space="preserve"> — IP-portability story that eases *inbound* migration to GCP. Watch for GA; counter is our own BYOIP support — don't let "you can keep your IPs" become a GCP-only claim.</w:t>
      </w:r>
    </w:p>
    <w:p>
      <w:pPr>
        <w:pStyle w:val="ListBullet"/>
      </w:pPr>
      <w:r>
        <w:rPr>
          <w:b/>
        </w:rPr>
        <w:t>Data lineage at org/folder/project level GA</w:t>
      </w:r>
      <w:r>
        <w:t xml:space="preserve"> (BigQuery, Managed Spark/Airflow) — data_gravity → Glue/DataZone-adjacent governance. Minor alone; watch as part of the BigQuery-gravity aggregate.</w:t>
      </w:r>
    </w:p>
    <w:p>
      <w:pPr>
        <w:pStyle w:val="ListBullet"/>
      </w:pPr>
      <w:r>
        <w:rPr>
          <w:b/>
        </w:rPr>
        <w:t>Gemini Enterprise BYOID mobile GA</w:t>
      </w:r>
      <w:r>
        <w:t xml:space="preserve"> — third-party IdP support removes an enterprise adoption blocker. Minor; feeds the agent_platform aggregate.</w:t>
      </w:r>
    </w:p>
    <w:p>
      <w:pPr>
        <w:pStyle w:val="Heading3"/>
      </w:pPr>
      <w:r>
        <w:t>Battlecard deltas</w:t>
      </w:r>
    </w:p>
    <w:p>
      <w:pPr>
        <w:pStyle w:val="ListBullet"/>
      </w:pPr>
      <w:r>
        <w:rPr>
          <w:b/>
        </w:rPr>
        <w:t>ai_inference_price (Bedrock/Trainium/Inferentia):</w:t>
      </w:r>
      <w:r>
        <w:t xml:space="preserve"> Add the Oct 21, 2026 MaaS retirement list verbatim to the battlecard — it's checkable by the customer and lands harder than any benchmark. Add the Vertex H100 management fee (+$1.469/hr on $9.797/hr, us-central1) as a quote-scrub item. Prior values: none (baseline) — no delta claimed. Sellers must pull current Bedrock/P5 list pricing before quoting comparisons.</w:t>
      </w:r>
    </w:p>
    <w:p>
      <w:pPr>
        <w:pStyle w:val="ListBullet"/>
      </w:pPr>
      <w:r>
        <w:rPr>
          <w:b/>
        </w:rPr>
        <w:t>compute_price (EC2/Savings Plans/Graviton):</w:t>
      </w:r>
      <w:r>
        <w:t xml:space="preserve"> Record baseline: Spot ≤91%, CUD ≤70%/55%, spend-based flexible CUDs ≈ Compute Savings Plans equivalence. No delta claimable this week. Concede discount-structure parity; win on Graviton price-performance and Spot capacity depth, not on discount headline percentages.</w:t>
      </w:r>
    </w:p>
    <w:p>
      <w:pPr>
        <w:pStyle w:val="ListBullet"/>
      </w:pPr>
      <w:r>
        <w:rPr>
          <w:b/>
        </w:rPr>
        <w:t>accelerator_supply (Trainium2/3, P5/P6, Capacity Blocks):</w:t>
      </w:r>
      <w:r>
        <w:t xml:space="preserve"> New baseline: tpu7x listed at $13.80/chip-hr; TPU v6e $3.105/chip-hr; regional availability lists captured. Add Batch cross-region restriction as a capacity-flexibility counterpoint. Sellers need a prepared Trainium2 $/chip-hr-equivalent answer — Google's public TPU list pricing will be quoted at us.</w:t>
      </w:r>
    </w:p>
    <w:p>
      <w:pPr>
        <w:pStyle w:val="ListBullet"/>
      </w:pPr>
      <w:r>
        <w:rPr>
          <w:b/>
        </w:rPr>
        <w:t>agent_platform (AgentCore/Strands/MCP):</w:t>
      </w:r>
      <w:r>
        <w:t xml:space="preserve"> New baseline: $21/$30 per-seat price points, no-code Agent Designer, ADK + third-party agent bring-in, Model Armor, connector library (M365, HubSpot, Jira). Counter-position: consumption-based AgentCore vs per-seat lock; MCP/Strands openness vs ADK. Concession: Google has a simpler procurement story ("a seat price and a 30-day trial") — don't dismiss it, match it with a scoped pilot offer.</w:t>
      </w:r>
    </w:p>
    <w:p>
      <w:pPr>
        <w:pStyle w:val="ListBullet"/>
      </w:pPr>
      <w:r>
        <w:rPr>
          <w:b/>
        </w:rPr>
        <w:t>data_gravity / egress_terms:</w:t>
      </w:r>
      <w:r>
        <w:t xml:space="preserve"> No material candidates this week. No changes.</w:t>
      </w:r>
    </w:p>
    <w:p>
      <w:pPr>
        <w:pStyle w:val="Heading3"/>
      </w:pPr>
      <w:r>
        <w:t>Strategic read</w:t>
      </w:r>
    </w:p>
    <w:p>
      <w:r>
        <w:t>Google is concentrating: killing third-party open-model serving, locking Gemini inference parameters, and pushing a seat-priced, vertically integrated agent stack (Gemini Enterprise + ADK + Code Assist). Simultaneously it is shedding legacy control surfaces (CSEK, Backstory APIs, cross-region Batch) — accepting migration friction to simplify its platform. The concession to exploit: Google is trading customer optionality and integration stability for Gemini velocity, which makes "model choice + lifecycle stability + you keep the knobs" the coherent AWS counter-narrative this quarter.</w:t>
      </w:r>
    </w:p>
    <w:p>
      <w:pPr>
        <w:pStyle w:val="Heading3"/>
      </w:pPr>
      <w:r>
        <w:t>Gaps (no candidate data this week)</w:t>
      </w:r>
    </w:p>
    <w:p>
      <w:pPr>
        <w:pStyle w:val="ListBullet"/>
      </w:pPr>
      <w:r>
        <w:rPr>
          <w:b/>
        </w:rPr>
        <w:t>gcp_tpu_docs (T2):</w:t>
      </w:r>
      <w:r>
        <w:t xml:space="preserve"> No capture — we lack corroboration on Ironwood/tpu7x availability, regions, and reservation terms despite tpu7x *pricing* appearing on the Vertex page. The pricing signal is ahead of the supply signal; treat tpu7x GA/scale claims as unverified until this source lands.</w:t>
      </w:r>
    </w:p>
    <w:p>
      <w:pPr>
        <w:pStyle w:val="ListBullet"/>
      </w:pPr>
      <w:r>
        <w:rPr>
          <w:b/>
        </w:rPr>
        <w:t>gcp_blog_ai (T3):</w:t>
      </w:r>
      <w:r>
        <w:t xml:space="preserve"> No capture — no view of customer-win/migration/benchmark claims Google is amplifying. Low direct impact (T3 corroborates, never leads), but we can't pre-brief sellers on Google's marketing pushes.</w:t>
      </w:r>
    </w:p>
    <w:p>
      <w:pPr>
        <w:pStyle w:val="ListBullet"/>
      </w:pPr>
      <w:r>
        <w:rPr>
          <w:b/>
        </w:rPr>
        <w:t>alphabet_earnings (T1):</w:t>
      </w:r>
      <w:r>
        <w:t xml:space="preserve"> No capture — expected; source only triggers on a new 8-K filing and Q2 results were not in this window. Watch closely: next Alphabet 8-K will carry Cloud revenue/backlog/capex, which contextualizes the TPU pricing and capacity story above.</w:t>
      </w:r>
    </w:p>
    <w:p>
      <w:pPr>
        <w:pStyle w:val="Heading3"/>
      </w:pPr>
      <w:r>
        <w:t>Dropped (with one-line reason each)</w:t>
      </w:r>
    </w:p>
    <w:p>
      <w:pPr>
        <w:pStyle w:val="ListBullet"/>
      </w:pPr>
      <w:r>
        <w:rPr>
          <w:b/>
        </w:rPr>
        <w:t>gcloud routers named-set commands GA</w:t>
      </w:r>
      <w:r>
        <w:t xml:space="preserve"> — CLI plumbing; pressures no AWS service in any deal stage.</w:t>
      </w:r>
    </w:p>
    <w:p>
      <w:pPr>
        <w:pStyle w:val="ListBullet"/>
      </w:pPr>
      <w:r>
        <w:rPr>
          <w:b/>
        </w:rPr>
        <w:t>Regional MIG cross-zone repair GA</w:t>
      </w:r>
      <w:r>
        <w:t xml:space="preserve"> — incremental resilience parity; no bake-off shows up on this.</w:t>
      </w:r>
    </w:p>
    <w:p>
      <w:pPr>
        <w:pStyle w:val="ListBullet"/>
      </w:pPr>
      <w:r>
        <w:rPr>
          <w:b/>
        </w:rPr>
        <w:t>SecOps SOAR releases 6.3.93/6.3.94</w:t>
      </w:r>
      <w:r>
        <w:t xml:space="preserve"> — routine version rollouts, no seller consequence.</w:t>
      </w:r>
    </w:p>
    <w:p>
      <w:pPr>
        <w:pStyle w:val="ListBullet"/>
      </w:pPr>
      <w:r>
        <w:rPr>
          <w:b/>
        </w:rPr>
        <w:t>GKE Ubuntu vulkan-tools removal</w:t>
      </w:r>
      <w:r>
        <w:t xml:space="preserve"> — node-image hygiene, no deal relevance.</w:t>
      </w:r>
    </w:p>
    <w:p>
      <w:pPr>
        <w:pStyle w:val="ListBullet"/>
      </w:pPr>
      <w:r>
        <w:rPr>
          <w:b/>
        </w:rPr>
        <w:t>Secret Manager regional secret for DB passwords</w:t>
      </w:r>
      <w:r>
        <w:t xml:space="preserve"> — table-stakes feature parity, no wedge.</w:t>
      </w:r>
    </w:p>
    <w:p>
      <w:pPr>
        <w:pStyle w:val="ListBullet"/>
      </w:pPr>
      <w:r>
        <w:rPr>
          <w:b/>
        </w:rPr>
        <w:t>Looker reports deprecated (July 13, 2026)</w:t>
      </w:r>
      <w:r>
        <w:t xml:space="preserve"> — real friction but no battlecard theme covers BI; flag to battlecard owners if a QuickSight theme is added.</w:t>
      </w:r>
    </w:p>
    <w:p>
      <w:pPr>
        <w:pStyle w:val="ListBullet"/>
      </w:pPr>
      <w:r>
        <w:rPr>
          <w:b/>
        </w:rPr>
        <w:t>Vertex Featurestore / evaluation / AutoML line-item prices</w:t>
      </w:r>
      <w:r>
        <w:t xml:space="preserve"> — captured to baseline for future diffing, but no prior values and no AWS map entries make them non-actionable this week.</w:t>
      </w:r>
    </w:p>
    <w:p>
      <w:r>
        <w:t>________________________________________</w:t>
      </w:r>
    </w:p>
    <w:p>
      <w:r>
        <w:rPr>
          <w:b/>
        </w:rPr>
        <w:t>Key things worth knowing beyond the brief itself:</w:t>
      </w:r>
      <w:r>
        <w:t xml:space="preserve"> this was a baseline week (first capture for all four sources), so next week's run is when true deltas start flowing — especially on the pricing pages. Three sources returned nothing (`gcp_tpu_docs`, `gcp_blog_ai`, `alphabet_earnings`); the tpu7x pricing-without-supply-corroboration gap is the one to close first. Want me to save this brief to a file (e.g., `briefs/2026-07-22.md`)?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