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32DC" w:rsidRDefault="009F4744">
      <w:r>
        <w:t>Possible Sections:</w:t>
      </w:r>
    </w:p>
    <w:p w:rsidR="000632DC" w:rsidRDefault="000632DC">
      <w:r w:rsidRPr="000632DC">
        <w:t>H063 - General Surface Hydrology and Catchment Science</w:t>
      </w:r>
    </w:p>
    <w:p w:rsidR="000632DC" w:rsidRDefault="000632DC">
      <w:r w:rsidRPr="000632DC">
        <w:t>H093 - Machine Learning in Hydrologic Modeling</w:t>
      </w:r>
      <w:r>
        <w:t xml:space="preserve"> (if we implement a bona-fide ML technique)</w:t>
      </w:r>
    </w:p>
    <w:p w:rsidR="000632DC" w:rsidRPr="000632DC" w:rsidRDefault="000632DC">
      <w:pPr>
        <w:rPr>
          <w:b/>
        </w:rPr>
      </w:pPr>
      <w:r w:rsidRPr="000632DC">
        <w:rPr>
          <w:b/>
        </w:rPr>
        <w:t>H149 - Water contamination and water quality improvement in rivers</w:t>
      </w:r>
    </w:p>
    <w:p w:rsidR="00D634FB" w:rsidRDefault="00D634FB">
      <w:r w:rsidRPr="00D634FB">
        <w:t>H151 - Water, land, environment and people</w:t>
      </w:r>
    </w:p>
    <w:p w:rsidR="00D41B2E" w:rsidRDefault="00D41B2E"/>
    <w:p w:rsidR="00D41B2E" w:rsidRPr="00AC3368" w:rsidRDefault="00D41B2E" w:rsidP="00D41B2E">
      <w:pPr>
        <w:jc w:val="center"/>
        <w:rPr>
          <w:sz w:val="24"/>
          <w:szCs w:val="24"/>
        </w:rPr>
      </w:pPr>
      <w:r w:rsidRPr="00AC3368">
        <w:rPr>
          <w:sz w:val="24"/>
          <w:szCs w:val="24"/>
        </w:rPr>
        <w:t xml:space="preserve">A </w:t>
      </w:r>
      <w:r w:rsidR="00006C3B" w:rsidRPr="00AC3368">
        <w:rPr>
          <w:sz w:val="24"/>
          <w:szCs w:val="24"/>
        </w:rPr>
        <w:t>Scalable</w:t>
      </w:r>
      <w:r w:rsidRPr="00AC3368">
        <w:rPr>
          <w:sz w:val="24"/>
          <w:szCs w:val="24"/>
        </w:rPr>
        <w:t xml:space="preserve"> </w:t>
      </w:r>
      <w:r w:rsidR="009258A9" w:rsidRPr="00AC3368">
        <w:rPr>
          <w:sz w:val="24"/>
          <w:szCs w:val="24"/>
        </w:rPr>
        <w:t>Strategy</w:t>
      </w:r>
      <w:r w:rsidRPr="00AC3368">
        <w:rPr>
          <w:sz w:val="24"/>
          <w:szCs w:val="24"/>
        </w:rPr>
        <w:t xml:space="preserve"> for Quantifying Vegetative Cover in Riparian Buffers with LiDAR</w:t>
      </w:r>
    </w:p>
    <w:p w:rsidR="00C43A7A" w:rsidRDefault="00C43A7A" w:rsidP="00D41B2E">
      <w:pPr>
        <w:jc w:val="center"/>
      </w:pPr>
    </w:p>
    <w:p w:rsidR="009F4744" w:rsidRDefault="00D41B2E" w:rsidP="00C43A7A">
      <w:pPr>
        <w:rPr>
          <w:color w:val="FF0000"/>
        </w:rPr>
      </w:pPr>
      <w:r>
        <w:tab/>
        <w:t xml:space="preserve">Riparian vegetation is fundamental to the health of </w:t>
      </w:r>
      <w:r w:rsidR="009258A9">
        <w:t>fluvial</w:t>
      </w:r>
      <w:r>
        <w:t xml:space="preserve"> systems; it filters sediment and nutrients from runoff, stabilizes stream banks</w:t>
      </w:r>
      <w:r w:rsidR="00103B6F">
        <w:t>, controls sediment erosion</w:t>
      </w:r>
      <w:r>
        <w:t xml:space="preserve">, shades and cools water, and provides </w:t>
      </w:r>
      <w:r w:rsidR="00A94B66">
        <w:t xml:space="preserve">habitat for a diverse array of terrestrial organisms. Because of the outsized impact that riparian buffers have on water and ecosystem quality, quantifying its extent </w:t>
      </w:r>
      <w:r w:rsidR="00027EEB">
        <w:t>is</w:t>
      </w:r>
      <w:r w:rsidR="00A94B66">
        <w:t xml:space="preserve"> of great interest to hydrologists, watershed planners</w:t>
      </w:r>
      <w:r w:rsidR="00027EEB">
        <w:t xml:space="preserve">, </w:t>
      </w:r>
      <w:r w:rsidR="00A94B66">
        <w:t>stream restorationists</w:t>
      </w:r>
      <w:r w:rsidR="00027EEB">
        <w:t xml:space="preserve"> and many others. We propose a simple scheme that uses </w:t>
      </w:r>
      <w:r w:rsidR="008B2D3B">
        <w:t xml:space="preserve">only </w:t>
      </w:r>
      <w:r w:rsidR="00027EEB">
        <w:t xml:space="preserve">LiDAR point cloud data to identify vegetation in riparian buffers, allowing rapid and scalable quantification </w:t>
      </w:r>
      <w:r w:rsidR="00B750CB">
        <w:t>of riparian</w:t>
      </w:r>
      <w:r w:rsidR="00027EEB">
        <w:t xml:space="preserve"> vegetative coverage.</w:t>
      </w:r>
    </w:p>
    <w:p w:rsidR="009F4744" w:rsidRDefault="00B750CB" w:rsidP="00C43A7A">
      <w:pPr>
        <w:ind w:firstLine="720"/>
        <w:rPr>
          <w:color w:val="FF0000"/>
        </w:rPr>
      </w:pPr>
      <w:r>
        <w:t xml:space="preserve">While manually identifying riparian vegetation using </w:t>
      </w:r>
      <w:proofErr w:type="spellStart"/>
      <w:r>
        <w:t>orthoimagery</w:t>
      </w:r>
      <w:proofErr w:type="spellEnd"/>
      <w:r>
        <w:t xml:space="preserve"> is feasible for small study areas, automated techniques become necessary as the size of the study area increases. Many automated approaches to quantifying riparian coverage work well but may require the acquisition of specialized </w:t>
      </w:r>
      <w:r w:rsidR="007B6DC6">
        <w:t>imagery</w:t>
      </w:r>
      <w:r>
        <w:t xml:space="preserve"> or </w:t>
      </w:r>
      <w:r w:rsidR="007B6DC6">
        <w:t xml:space="preserve">have workflows obfuscated by the application of complicated machine learning techniques. Our strategy uses only LiDAR data to generate intermediate </w:t>
      </w:r>
      <w:proofErr w:type="spellStart"/>
      <w:r w:rsidR="007B6DC6">
        <w:t>rasters</w:t>
      </w:r>
      <w:proofErr w:type="spellEnd"/>
      <w:r w:rsidR="007B6DC6">
        <w:t xml:space="preserve"> that are combined to produce a final raster of vegetative coverage. The process is easy to understand, computationally efficient, can be implemented in a wide range of programming languages and GIS programs, and produces results that are on par with more complicated techniques.</w:t>
      </w:r>
    </w:p>
    <w:p w:rsidR="009F4744" w:rsidRDefault="007B6DC6" w:rsidP="00C43A7A">
      <w:pPr>
        <w:rPr>
          <w:color w:val="FF0000"/>
        </w:rPr>
      </w:pPr>
      <w:r>
        <w:rPr>
          <w:color w:val="FF0000"/>
        </w:rPr>
        <w:tab/>
      </w:r>
      <w:r w:rsidR="00D14D0C">
        <w:t xml:space="preserve">We validated our model against a hand-delineated </w:t>
      </w:r>
      <w:proofErr w:type="spellStart"/>
      <w:r w:rsidR="00D14D0C">
        <w:t>landuse</w:t>
      </w:r>
      <w:proofErr w:type="spellEnd"/>
      <w:r w:rsidR="00D14D0C">
        <w:t xml:space="preserve"> dataset covering </w:t>
      </w:r>
      <w:r w:rsidR="00484514">
        <w:t>the XX watershed, a XX km</w:t>
      </w:r>
      <w:r w:rsidR="00484514">
        <w:rPr>
          <w:vertAlign w:val="superscript"/>
        </w:rPr>
        <w:t xml:space="preserve">2 </w:t>
      </w:r>
      <w:r w:rsidR="00484514">
        <w:t>catchment located in western Tennessee.</w:t>
      </w:r>
      <w:r w:rsidR="000E27BD">
        <w:t xml:space="preserve"> LiDAR covering the study area was downloaded from the Tennessee Geospatial Portal. This LiDAR was collected in late 2012 </w:t>
      </w:r>
      <w:r w:rsidR="00115954">
        <w:t xml:space="preserve">by </w:t>
      </w:r>
      <w:r w:rsidR="00115954" w:rsidRPr="00115954">
        <w:t>Laser Mapping Specialist, Inc</w:t>
      </w:r>
      <w:r w:rsidR="00115954">
        <w:t xml:space="preserve"> for the US Army Corps of Engineers with a horizontal accuracy of 1.0m and vertical accuracy of 0.37m.</w:t>
      </w:r>
      <w:r w:rsidR="001347A5">
        <w:t xml:space="preserve"> Landcover predictions were made by applying various filters </w:t>
      </w:r>
      <w:r w:rsidR="009A058F">
        <w:t xml:space="preserve">to </w:t>
      </w:r>
      <w:r w:rsidR="001347A5">
        <w:t xml:space="preserve">raster datasets derived from the LiDAR, and filter parameter ranges were established by applying optimizing the filtering algorithm with a differential evolution algorithm. </w:t>
      </w:r>
    </w:p>
    <w:p w:rsidR="001347A5" w:rsidRDefault="009A058F" w:rsidP="00D24F23">
      <w:pPr>
        <w:ind w:firstLine="720"/>
      </w:pPr>
      <w:r>
        <w:t xml:space="preserve">Though many filter combinations are possible, it is necessary to find a combination that has good predictive power yet is also relatively simple. By using just two LiDAR-derived </w:t>
      </w:r>
      <w:proofErr w:type="spellStart"/>
      <w:r>
        <w:t>rasters</w:t>
      </w:r>
      <w:proofErr w:type="spellEnd"/>
      <w:r w:rsidR="00946AB8">
        <w:t xml:space="preserve">, </w:t>
      </w:r>
      <w:r>
        <w:t xml:space="preserve">coverage </w:t>
      </w:r>
      <w:r w:rsidR="001D7E7F">
        <w:t xml:space="preserve">was quantified </w:t>
      </w:r>
      <w:r>
        <w:t>with an accuracy of 85-87% in the riparian corridor</w:t>
      </w:r>
      <w:r w:rsidR="00293267">
        <w:t xml:space="preserve"> depending on model parameters</w:t>
      </w:r>
      <w:r>
        <w:t xml:space="preserve">. </w:t>
      </w:r>
      <w:r w:rsidR="00FD2F8D">
        <w:t>The formal</w:t>
      </w:r>
      <w:r w:rsidR="001D7E7F">
        <w:t xml:space="preserve"> model can be written as follows:</w:t>
      </w:r>
    </w:p>
    <w:p w:rsidR="00FD2F8D" w:rsidRPr="00FD2F8D" w:rsidRDefault="00BF1C9B" w:rsidP="00FD2F8D">
      <w:pPr>
        <w:ind w:firstLine="720"/>
        <w:jc w:val="cente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&gt;x)</m:t>
          </m:r>
          <m:sSub>
            <m:sSubPr>
              <m:ctrlPr>
                <w:rPr>
                  <w:rFonts w:ascii="Cambria Math" w:hAnsi="Cambria Math"/>
                  <w:i/>
                </w:rPr>
              </m:ctrlPr>
            </m:sSubPr>
            <m:e>
              <m:r>
                <w:rPr>
                  <w:rFonts w:ascii="Cambria Math" w:hAnsi="Cambria Math"/>
                </w:rPr>
                <m:t xml:space="preserve"> </m:t>
              </m:r>
              <m:r>
                <m:rPr>
                  <m:sty m:val="p"/>
                </m:rPr>
                <w:rPr>
                  <w:rFonts w:ascii="Cambria Math" w:hAnsi="Cambria Math" w:cs="Cambria Math"/>
                  <w:color w:val="222222"/>
                  <w:shd w:val="clear" w:color="auto" w:fill="FFFFFF"/>
                </w:rPr>
                <m:t>∧(</m:t>
              </m:r>
              <m:r>
                <w:rPr>
                  <w:rFonts w:ascii="Cambria Math" w:hAnsi="Cambria Math"/>
                </w:rPr>
                <m:t>n</m:t>
              </m:r>
            </m:e>
            <m:sub>
              <m:r>
                <w:rPr>
                  <w:rFonts w:ascii="Cambria Math" w:hAnsi="Cambria Math"/>
                </w:rPr>
                <m:t>ij</m:t>
              </m:r>
            </m:sub>
          </m:sSub>
          <m:r>
            <w:rPr>
              <w:rFonts w:ascii="Cambria Math" w:hAnsi="Cambria Math"/>
            </w:rPr>
            <m:t>&gt;y)</m:t>
          </m:r>
        </m:oMath>
      </m:oMathPara>
    </w:p>
    <w:p w:rsidR="009F4744" w:rsidRPr="00D41B2E" w:rsidRDefault="00FD2F8D" w:rsidP="00C43A7A">
      <w:pPr>
        <w:rPr>
          <w:color w:val="FF0000"/>
        </w:rPr>
      </w:pPr>
      <w:r>
        <w:rPr>
          <w:rFonts w:eastAsiaTheme="minorEastAsia"/>
        </w:rPr>
        <w:t xml:space="preserve">where </w:t>
      </w:r>
      <w:proofErr w:type="spellStart"/>
      <w:r>
        <w:rPr>
          <w:rFonts w:eastAsiaTheme="minorEastAsia"/>
          <w:i/>
        </w:rPr>
        <w:t>ij</w:t>
      </w:r>
      <w:proofErr w:type="spellEnd"/>
      <w:r>
        <w:rPr>
          <w:rFonts w:eastAsiaTheme="minorEastAsia"/>
          <w:i/>
        </w:rPr>
        <w:t xml:space="preserve"> </w:t>
      </w:r>
      <w:r>
        <w:rPr>
          <w:rFonts w:eastAsiaTheme="minorEastAsia"/>
        </w:rPr>
        <w:t xml:space="preserve">is the index of a cell in a raster, </w:t>
      </w:r>
      <w:r>
        <w:rPr>
          <w:rFonts w:eastAsiaTheme="minorEastAsia"/>
          <w:i/>
        </w:rPr>
        <w:t xml:space="preserve">p </w:t>
      </w:r>
      <w:r>
        <w:rPr>
          <w:rFonts w:eastAsiaTheme="minorEastAsia"/>
        </w:rPr>
        <w:t xml:space="preserve">is the truth value of the riparian coverage, </w:t>
      </w:r>
      <w:r>
        <w:rPr>
          <w:rFonts w:eastAsiaTheme="minorEastAsia"/>
          <w:i/>
        </w:rPr>
        <w:t>d</w:t>
      </w:r>
      <w:r>
        <w:rPr>
          <w:rFonts w:eastAsiaTheme="minorEastAsia"/>
        </w:rPr>
        <w:t xml:space="preserve"> is the distance to the gro</w:t>
      </w:r>
      <w:r w:rsidR="00293267">
        <w:rPr>
          <w:rFonts w:eastAsiaTheme="minorEastAsia"/>
        </w:rPr>
        <w:t xml:space="preserve">und (sometimes referred to as canopy height), </w:t>
      </w:r>
      <w:r w:rsidR="00293267">
        <w:rPr>
          <w:rFonts w:eastAsiaTheme="minorEastAsia"/>
          <w:i/>
        </w:rPr>
        <w:t xml:space="preserve">n </w:t>
      </w:r>
      <w:r w:rsidR="00293267">
        <w:rPr>
          <w:rFonts w:eastAsiaTheme="minorEastAsia"/>
        </w:rPr>
        <w:t>is the average number of LiDAR pulse returns</w:t>
      </w:r>
      <w:r w:rsidR="00C43A7A">
        <w:rPr>
          <w:rFonts w:eastAsiaTheme="minorEastAsia"/>
        </w:rPr>
        <w:t xml:space="preserve"> (</w:t>
      </w:r>
      <w:r w:rsidR="00C43A7A">
        <w:rPr>
          <w:rFonts w:eastAsiaTheme="minorEastAsia"/>
          <w:i/>
        </w:rPr>
        <w:t xml:space="preserve">n </w:t>
      </w:r>
      <w:r w:rsidR="00C43A7A">
        <w:rPr>
          <w:rFonts w:eastAsiaTheme="minorEastAsia"/>
        </w:rPr>
        <w:lastRenderedPageBreak/>
        <w:t>tends to increase as tree and shrub limbs fragment LIDAR pulses)</w:t>
      </w:r>
      <w:r w:rsidR="00293267">
        <w:rPr>
          <w:rFonts w:eastAsiaTheme="minorEastAsia"/>
        </w:rPr>
        <w:t xml:space="preserve">, </w:t>
      </w:r>
      <w:r w:rsidR="00293267">
        <w:rPr>
          <w:rFonts w:eastAsiaTheme="minorEastAsia"/>
          <w:i/>
        </w:rPr>
        <w:t>x</w:t>
      </w:r>
      <w:r w:rsidR="00293267">
        <w:rPr>
          <w:rFonts w:eastAsiaTheme="minorEastAsia"/>
        </w:rPr>
        <w:t xml:space="preserve"> and </w:t>
      </w:r>
      <w:r w:rsidR="00293267">
        <w:rPr>
          <w:rFonts w:eastAsiaTheme="minorEastAsia"/>
          <w:i/>
        </w:rPr>
        <w:t xml:space="preserve">y </w:t>
      </w:r>
      <w:r w:rsidR="00293267">
        <w:rPr>
          <w:rFonts w:eastAsiaTheme="minorEastAsia"/>
        </w:rPr>
        <w:t xml:space="preserve">are positive real numbers and </w:t>
      </w:r>
      <m:oMath>
        <m:r>
          <m:rPr>
            <m:sty m:val="p"/>
          </m:rPr>
          <w:rPr>
            <w:rFonts w:ascii="Cambria Math" w:hAnsi="Cambria Math" w:cs="Cambria Math"/>
            <w:color w:val="222222"/>
            <w:shd w:val="clear" w:color="auto" w:fill="FFFFFF"/>
          </w:rPr>
          <m:t>∧</m:t>
        </m:r>
      </m:oMath>
      <w:r w:rsidR="00293267">
        <w:rPr>
          <w:rFonts w:eastAsiaTheme="minorEastAsia"/>
          <w:color w:val="222222"/>
          <w:shd w:val="clear" w:color="auto" w:fill="FFFFFF"/>
        </w:rPr>
        <w:t xml:space="preserve"> is the logical AND operator.</w:t>
      </w:r>
      <w:r w:rsidR="000E748B">
        <w:rPr>
          <w:rFonts w:eastAsiaTheme="minorEastAsia"/>
          <w:color w:val="222222"/>
          <w:shd w:val="clear" w:color="auto" w:fill="FFFFFF"/>
        </w:rPr>
        <w:t xml:space="preserve"> The most effective arguments for this model in this study area were determined to be </w:t>
      </w:r>
      <w:r w:rsidR="000E748B">
        <w:rPr>
          <w:rFonts w:eastAsiaTheme="minorEastAsia"/>
          <w:i/>
          <w:color w:val="222222"/>
          <w:shd w:val="clear" w:color="auto" w:fill="FFFFFF"/>
        </w:rPr>
        <w:t>x = 3</w:t>
      </w:r>
      <w:r w:rsidR="009140DA">
        <w:rPr>
          <w:rFonts w:eastAsiaTheme="minorEastAsia"/>
          <w:i/>
          <w:color w:val="222222"/>
          <w:shd w:val="clear" w:color="auto" w:fill="FFFFFF"/>
        </w:rPr>
        <w:t xml:space="preserve"> </w:t>
      </w:r>
      <w:r w:rsidR="000E748B">
        <w:rPr>
          <w:rFonts w:eastAsiaTheme="minorEastAsia"/>
          <w:i/>
          <w:color w:val="222222"/>
          <w:shd w:val="clear" w:color="auto" w:fill="FFFFFF"/>
        </w:rPr>
        <w:t>m</w:t>
      </w:r>
      <w:r w:rsidR="009140DA">
        <w:rPr>
          <w:rFonts w:eastAsiaTheme="minorEastAsia"/>
          <w:i/>
          <w:color w:val="222222"/>
          <w:shd w:val="clear" w:color="auto" w:fill="FFFFFF"/>
        </w:rPr>
        <w:t>eters</w:t>
      </w:r>
      <w:r w:rsidR="000E748B">
        <w:rPr>
          <w:rFonts w:eastAsiaTheme="minorEastAsia"/>
          <w:color w:val="222222"/>
          <w:shd w:val="clear" w:color="auto" w:fill="FFFFFF"/>
        </w:rPr>
        <w:t xml:space="preserve"> and </w:t>
      </w:r>
      <w:r w:rsidR="000E748B">
        <w:rPr>
          <w:rFonts w:eastAsiaTheme="minorEastAsia"/>
          <w:i/>
          <w:color w:val="222222"/>
          <w:shd w:val="clear" w:color="auto" w:fill="FFFFFF"/>
        </w:rPr>
        <w:t>y = 1.5</w:t>
      </w:r>
      <w:r w:rsidR="000E748B">
        <w:rPr>
          <w:rFonts w:eastAsiaTheme="minorEastAsia"/>
          <w:color w:val="222222"/>
          <w:shd w:val="clear" w:color="auto" w:fill="FFFFFF"/>
        </w:rPr>
        <w:t xml:space="preserve">, though these are preliminary </w:t>
      </w:r>
      <w:r w:rsidR="00097A3D">
        <w:rPr>
          <w:rFonts w:eastAsiaTheme="minorEastAsia"/>
          <w:color w:val="222222"/>
          <w:shd w:val="clear" w:color="auto" w:fill="FFFFFF"/>
        </w:rPr>
        <w:t>estimates</w:t>
      </w:r>
      <w:r w:rsidR="000E748B">
        <w:rPr>
          <w:rFonts w:eastAsiaTheme="minorEastAsia"/>
          <w:color w:val="222222"/>
          <w:shd w:val="clear" w:color="auto" w:fill="FFFFFF"/>
        </w:rPr>
        <w:t>.</w:t>
      </w:r>
      <w:r w:rsidR="00107F0A">
        <w:rPr>
          <w:rFonts w:eastAsiaTheme="minorEastAsia"/>
          <w:color w:val="222222"/>
          <w:shd w:val="clear" w:color="auto" w:fill="FFFFFF"/>
        </w:rPr>
        <w:t xml:space="preserve"> This model works best when riparian coverage is primarily arboreal; decreasing the canopy height threshold </w:t>
      </w:r>
      <w:r w:rsidR="001A2C5D">
        <w:rPr>
          <w:rFonts w:eastAsiaTheme="minorEastAsia"/>
          <w:color w:val="222222"/>
          <w:shd w:val="clear" w:color="auto" w:fill="FFFFFF"/>
        </w:rPr>
        <w:t>increases identification of shrub coverage but may gives false positives in agricultural fields.</w:t>
      </w:r>
      <w:r w:rsidR="00C43A7A">
        <w:rPr>
          <w:rFonts w:eastAsiaTheme="minorEastAsia"/>
          <w:color w:val="222222"/>
          <w:shd w:val="clear" w:color="auto" w:fill="FFFFFF"/>
        </w:rPr>
        <w:t xml:space="preserve"> Canopy height and average pulse returns</w:t>
      </w:r>
      <w:r w:rsidR="000512A6">
        <w:rPr>
          <w:rFonts w:eastAsiaTheme="minorEastAsia"/>
          <w:color w:val="222222"/>
          <w:shd w:val="clear" w:color="auto" w:fill="FFFFFF"/>
        </w:rPr>
        <w:t xml:space="preserve"> </w:t>
      </w:r>
      <w:proofErr w:type="spellStart"/>
      <w:r w:rsidR="000512A6">
        <w:rPr>
          <w:rFonts w:eastAsiaTheme="minorEastAsia"/>
          <w:color w:val="222222"/>
          <w:shd w:val="clear" w:color="auto" w:fill="FFFFFF"/>
        </w:rPr>
        <w:t>rasters</w:t>
      </w:r>
      <w:proofErr w:type="spellEnd"/>
      <w:r w:rsidR="00C43A7A">
        <w:rPr>
          <w:rFonts w:eastAsiaTheme="minorEastAsia"/>
          <w:color w:val="222222"/>
          <w:shd w:val="clear" w:color="auto" w:fill="FFFFFF"/>
        </w:rPr>
        <w:t xml:space="preserve"> are simple to derive from LiDAR </w:t>
      </w:r>
      <w:r w:rsidR="000512A6">
        <w:rPr>
          <w:rFonts w:eastAsiaTheme="minorEastAsia"/>
          <w:color w:val="222222"/>
          <w:shd w:val="clear" w:color="auto" w:fill="FFFFFF"/>
        </w:rPr>
        <w:t>using</w:t>
      </w:r>
      <w:r w:rsidR="00C43A7A">
        <w:rPr>
          <w:rFonts w:eastAsiaTheme="minorEastAsia"/>
          <w:color w:val="222222"/>
          <w:shd w:val="clear" w:color="auto" w:fill="FFFFFF"/>
        </w:rPr>
        <w:t xml:space="preserve"> most GIS programs, and these same GIS programs can also perform efficient raster math.</w:t>
      </w:r>
    </w:p>
    <w:p w:rsidR="009F4744" w:rsidRDefault="00097A3D" w:rsidP="009F4744">
      <w:r>
        <w:tab/>
      </w:r>
      <w:r w:rsidR="00107F0A">
        <w:t>Because of the increasing ubiquity of LiDAR data</w:t>
      </w:r>
      <w:r w:rsidR="002F13A4">
        <w:t xml:space="preserve"> and the efficiency of raster/matrix operations, the proposed </w:t>
      </w:r>
      <w:r w:rsidR="00C43A7A">
        <w:t>model</w:t>
      </w:r>
      <w:r w:rsidR="002F13A4">
        <w:t xml:space="preserve"> can be used by anyone with access to basic GIS software to rapidly determine riparian vegetative coverage in large study areas, facilitating accurate assessments of ecological health</w:t>
      </w:r>
      <w:r w:rsidR="00C63B74">
        <w:t xml:space="preserve">, </w:t>
      </w:r>
      <w:r w:rsidR="002F13A4">
        <w:t>water quality</w:t>
      </w:r>
      <w:r w:rsidR="00C63B74">
        <w:t xml:space="preserve"> and erosion </w:t>
      </w:r>
      <w:r w:rsidR="00BF1C9B">
        <w:t>susceptibility</w:t>
      </w:r>
      <w:bookmarkStart w:id="0" w:name="_GoBack"/>
      <w:bookmarkEnd w:id="0"/>
      <w:r w:rsidR="002F13A4">
        <w:t>.</w:t>
      </w:r>
      <w:r w:rsidR="00C43A7A">
        <w:t xml:space="preserve"> This model is expected to generalize</w:t>
      </w:r>
      <w:r w:rsidR="00103B6F">
        <w:t xml:space="preserve"> to other watersheds</w:t>
      </w:r>
      <w:r w:rsidR="00C43A7A">
        <w:t>, and with further development it may be possible to differentiate coverage types within the riparian corridor by extending this raster filtering technique.</w:t>
      </w:r>
    </w:p>
    <w:sectPr w:rsidR="009F4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4FB"/>
    <w:rsid w:val="00006C3B"/>
    <w:rsid w:val="00027EEB"/>
    <w:rsid w:val="000328AF"/>
    <w:rsid w:val="000512A6"/>
    <w:rsid w:val="000632DC"/>
    <w:rsid w:val="00097A3D"/>
    <w:rsid w:val="000C2E6B"/>
    <w:rsid w:val="000E089C"/>
    <w:rsid w:val="000E27BD"/>
    <w:rsid w:val="000E748B"/>
    <w:rsid w:val="00103B6F"/>
    <w:rsid w:val="00107F0A"/>
    <w:rsid w:val="00115954"/>
    <w:rsid w:val="001347A5"/>
    <w:rsid w:val="001A2C5D"/>
    <w:rsid w:val="001D7E7F"/>
    <w:rsid w:val="001E4B3B"/>
    <w:rsid w:val="00293267"/>
    <w:rsid w:val="002F13A4"/>
    <w:rsid w:val="00484514"/>
    <w:rsid w:val="005A020B"/>
    <w:rsid w:val="007348C8"/>
    <w:rsid w:val="00740C85"/>
    <w:rsid w:val="007B6DC6"/>
    <w:rsid w:val="00801AF0"/>
    <w:rsid w:val="00881A15"/>
    <w:rsid w:val="008B2D3B"/>
    <w:rsid w:val="009140DA"/>
    <w:rsid w:val="009258A9"/>
    <w:rsid w:val="00946AB8"/>
    <w:rsid w:val="009A058F"/>
    <w:rsid w:val="009F4744"/>
    <w:rsid w:val="00A94B66"/>
    <w:rsid w:val="00AB0133"/>
    <w:rsid w:val="00AC0559"/>
    <w:rsid w:val="00AC3368"/>
    <w:rsid w:val="00AE488F"/>
    <w:rsid w:val="00B750CB"/>
    <w:rsid w:val="00BF1C9B"/>
    <w:rsid w:val="00C43A7A"/>
    <w:rsid w:val="00C63B74"/>
    <w:rsid w:val="00CA5E65"/>
    <w:rsid w:val="00CB5EF3"/>
    <w:rsid w:val="00D14D0C"/>
    <w:rsid w:val="00D24F23"/>
    <w:rsid w:val="00D41B2E"/>
    <w:rsid w:val="00D634FB"/>
    <w:rsid w:val="00DB4732"/>
    <w:rsid w:val="00E24ED2"/>
    <w:rsid w:val="00F069C3"/>
    <w:rsid w:val="00FD2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E2CBA"/>
  <w15:chartTrackingRefBased/>
  <w15:docId w15:val="{84F5D6E9-6E35-4B41-8895-0A4F57E8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B2E"/>
    <w:pPr>
      <w:ind w:left="720"/>
      <w:contextualSpacing/>
    </w:pPr>
  </w:style>
  <w:style w:type="character" w:styleId="PlaceholderText">
    <w:name w:val="Placeholder Text"/>
    <w:basedOn w:val="DefaultParagraphFont"/>
    <w:uiPriority w:val="99"/>
    <w:semiHidden/>
    <w:rsid w:val="00740C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Jones</dc:creator>
  <cp:keywords/>
  <dc:description/>
  <cp:lastModifiedBy>Randall  Jones</cp:lastModifiedBy>
  <cp:revision>38</cp:revision>
  <dcterms:created xsi:type="dcterms:W3CDTF">2019-07-25T00:33:00Z</dcterms:created>
  <dcterms:modified xsi:type="dcterms:W3CDTF">2019-07-25T03:06:00Z</dcterms:modified>
</cp:coreProperties>
</file>