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p>
    <w:p w:rsidR="003C4376" w:rsidRDefault="003C4376" w:rsidP="001B3FAE">
      <w:r>
        <w:tab/>
        <w:t>Experiment with triangle intersection</w:t>
      </w:r>
      <w:r w:rsidR="00727B59">
        <w:t xml:space="preserve"> and try to render a cube</w:t>
      </w:r>
      <w:r>
        <w:t>.</w:t>
      </w:r>
    </w:p>
    <w:p w:rsidR="00D47B1C" w:rsidRDefault="00D47B1C" w:rsidP="00D47B1C">
      <w:pPr>
        <w:ind w:left="720"/>
      </w:pPr>
      <w:r>
        <w:t>Understand pbrt v2’s method (Moller Trumbore) but v3’s method seems a bit different and more optimized, try to figure that out:</w:t>
      </w:r>
    </w:p>
    <w:p w:rsidR="00D47B1C" w:rsidRDefault="00897EFB" w:rsidP="00D47B1C">
      <w:pPr>
        <w:pStyle w:val="ListParagraph"/>
        <w:numPr>
          <w:ilvl w:val="0"/>
          <w:numId w:val="27"/>
        </w:numPr>
      </w:pPr>
      <w:r>
        <w:t>Translate all vertices based on the ray origin: P</w:t>
      </w:r>
      <w:r w:rsidRPr="004971A5">
        <w:rPr>
          <w:vertAlign w:val="subscript"/>
        </w:rPr>
        <w:t>i</w:t>
      </w:r>
      <w:r>
        <w:t>’ = P</w:t>
      </w:r>
      <w:r w:rsidRPr="004971A5">
        <w:rPr>
          <w:vertAlign w:val="subscript"/>
        </w:rPr>
        <w:t>i</w:t>
      </w:r>
      <w:r>
        <w:t xml:space="preserve"> – o.</w:t>
      </w:r>
    </w:p>
    <w:p w:rsidR="00897EFB" w:rsidRDefault="00446E70" w:rsidP="00D47B1C">
      <w:pPr>
        <w:pStyle w:val="ListParagraph"/>
        <w:numPr>
          <w:ilvl w:val="0"/>
          <w:numId w:val="27"/>
        </w:numPr>
      </w:pPr>
      <w:r>
        <w:t xml:space="preserve">Permute components of triangle vertices and ray direction. Not </w:t>
      </w:r>
      <w:r w:rsidR="00EE1D0F">
        <w:t xml:space="preserve">immediately </w:t>
      </w:r>
      <w:r>
        <w:t xml:space="preserve">clear </w:t>
      </w:r>
      <w:r w:rsidR="00EE1D0F">
        <w:t>why this is done</w:t>
      </w:r>
      <w:r>
        <w:t>.</w:t>
      </w:r>
    </w:p>
    <w:p w:rsidR="00000F51" w:rsidRDefault="00000F51" w:rsidP="00D47B1C">
      <w:pPr>
        <w:pStyle w:val="ListParagraph"/>
        <w:numPr>
          <w:ilvl w:val="0"/>
          <w:numId w:val="27"/>
        </w:numPr>
      </w:pPr>
      <w:r>
        <w:t xml:space="preserve">Apply the following shear to the triangle vertices: </w:t>
      </w:r>
    </w:p>
    <w:p w:rsidR="00446E70" w:rsidRDefault="00000F51" w:rsidP="00000F51">
      <w:pPr>
        <w:pStyle w:val="ListParagraph"/>
        <w:numPr>
          <w:ilvl w:val="1"/>
          <w:numId w:val="27"/>
        </w:numPr>
      </w:pPr>
      <w:r>
        <w:t>Pix  += -d.x/d.z</w:t>
      </w:r>
      <w:r w:rsidR="00CF3700">
        <w:t xml:space="preserve"> * P</w:t>
      </w:r>
      <w:r w:rsidR="00BC3602">
        <w:t>iz</w:t>
      </w:r>
    </w:p>
    <w:p w:rsidR="00CF3700" w:rsidRDefault="00CF3700" w:rsidP="009C7695">
      <w:pPr>
        <w:pStyle w:val="ListParagraph"/>
        <w:numPr>
          <w:ilvl w:val="1"/>
          <w:numId w:val="27"/>
        </w:numPr>
      </w:pPr>
      <w:r>
        <w:t>Piy  += -d.y/d.z * Pi</w:t>
      </w:r>
      <w:r w:rsidR="00BC3602">
        <w:t>z</w:t>
      </w:r>
    </w:p>
    <w:p w:rsidR="00000F51" w:rsidRDefault="007F2B3E" w:rsidP="00D47B1C">
      <w:pPr>
        <w:pStyle w:val="ListParagraph"/>
        <w:numPr>
          <w:ilvl w:val="0"/>
          <w:numId w:val="27"/>
        </w:numPr>
      </w:pPr>
      <w:r>
        <w:t>Compute edge function coefficients.</w:t>
      </w:r>
    </w:p>
    <w:p w:rsidR="002F7D90" w:rsidRDefault="002F7D90" w:rsidP="002F7D90">
      <w:pPr>
        <w:ind w:left="720"/>
      </w:pPr>
      <w:r>
        <w:t>The v3 function seems to intersect both front facing as well as back facing triangles. It should be possible to adopt v2’s back face culling method to v3.</w:t>
      </w:r>
    </w:p>
    <w:p w:rsidR="006F47A0" w:rsidRDefault="006F47A0" w:rsidP="006F47A0">
      <w:pPr>
        <w:pStyle w:val="ListParagraph"/>
        <w:numPr>
          <w:ilvl w:val="0"/>
          <w:numId w:val="28"/>
        </w:numPr>
      </w:pPr>
      <w:r>
        <w:t xml:space="preserve">On second thought, Moller Trumbore is probably good enough because the dot and cross products shouldn’t affect performance as much given the </w:t>
      </w:r>
      <w:r w:rsidR="00691FCC">
        <w:t>available HLSL intrinsics.</w:t>
      </w:r>
    </w:p>
    <w:p w:rsidR="00742129" w:rsidRDefault="00742129" w:rsidP="002F7D90">
      <w:pPr>
        <w:ind w:left="720"/>
      </w:pPr>
      <w:r>
        <w:t xml:space="preserve">The v3 function also reverts to double precision </w:t>
      </w:r>
      <w:r w:rsidR="00096B7A">
        <w:t>to avoid rounding errors in the edge equation computation.</w:t>
      </w:r>
      <w:r w:rsidR="00516F37">
        <w:t xml:space="preserve"> See if we can adopt the more stable form for it.</w:t>
      </w:r>
    </w:p>
    <w:p w:rsidR="00617C25" w:rsidRDefault="00617C25" w:rsidP="002F7D90">
      <w:pPr>
        <w:ind w:left="720"/>
      </w:pPr>
      <w:r>
        <w:t>Now we can try loading a model and rendering it.</w:t>
      </w:r>
    </w:p>
    <w:p w:rsidR="00D93D8A" w:rsidRDefault="00D93D8A" w:rsidP="002F7D90">
      <w:pPr>
        <w:ind w:left="720"/>
      </w:pPr>
      <w:r>
        <w:t>Loading textures might still be a bit difficult due to limited texture loading support (Miniengine looks like it can load DDS and TGA files currently). DirectXTK would work but it currently only supports D3D11. Worst comes to worse, we could probably load the textures using D3D11 and copy them over to D3D12 resources.</w:t>
      </w:r>
    </w:p>
    <w:p w:rsidR="00ED0C81" w:rsidRDefault="00ED0C81" w:rsidP="002F7D90">
      <w:pPr>
        <w:ind w:left="720"/>
      </w:pPr>
      <w:r>
        <w:t>For now, we can probably run with loading just the vertex data because we can get pretty far without texture mapping.</w:t>
      </w:r>
      <w:r w:rsidR="009702DF">
        <w:t xml:space="preserve"> Let’s start with DXModel as our base.</w:t>
      </w:r>
      <w:bookmarkStart w:id="0" w:name="_GoBack"/>
      <w:bookmarkEnd w:id="0"/>
    </w:p>
    <w:p w:rsidR="00A631EC" w:rsidRDefault="00A631EC" w:rsidP="0005076F">
      <w:pPr>
        <w:pStyle w:val="Heading3"/>
        <w:numPr>
          <w:ilvl w:val="0"/>
          <w:numId w:val="7"/>
        </w:numPr>
      </w:pPr>
      <w:r>
        <w:t>Moveable camera</w:t>
      </w:r>
    </w:p>
    <w:p w:rsidR="00292C16" w:rsidRDefault="006B643E" w:rsidP="00EC3AA1">
      <w:pPr>
        <w:ind w:left="720"/>
      </w:pPr>
      <w:r>
        <w:t>We can adapt the DXCamera class to fit our needs.</w:t>
      </w:r>
      <w:r w:rsidR="009278BD">
        <w:t xml:space="preserve"> The view and proj matrix implementations would differ based on the path tracer’s requirements.</w:t>
      </w:r>
    </w:p>
    <w:p w:rsidR="00EC3AA1" w:rsidRDefault="00912CDD" w:rsidP="00620D97">
      <w:pPr>
        <w:ind w:left="720"/>
      </w:pPr>
      <w:r>
        <w:t xml:space="preserve">That was easier than expected </w:t>
      </w:r>
      <w:r>
        <w:sym w:font="Wingdings" w:char="F04A"/>
      </w:r>
      <w:r w:rsidR="00620D97">
        <w:t xml:space="preserve"> The camera does tend to fall apart once you start viewing it at odd angles though, try to see why that is.</w:t>
      </w:r>
    </w:p>
    <w:p w:rsidR="00EC7852" w:rsidRPr="00292C16" w:rsidRDefault="00EC7852" w:rsidP="00620D97">
      <w:pPr>
        <w:ind w:left="720"/>
      </w:pPr>
      <w:r>
        <w:t>Whoops, looks like we forgot to pass in the camera params</w:t>
      </w:r>
      <w:r w:rsidR="000B6CA1">
        <w:t xml:space="preserve"> to determine the ray origin</w:t>
      </w:r>
      <w:r w:rsidR="004A3E4E">
        <w:t xml:space="preserve"> and dir</w:t>
      </w:r>
      <w:r w:rsidR="000B6CA1">
        <w:t xml:space="preserve"> :D</w:t>
      </w:r>
    </w:p>
    <w:p w:rsidR="00FC0ED1" w:rsidRDefault="00373E6D" w:rsidP="00FC0ED1">
      <w:pPr>
        <w:pStyle w:val="Heading3"/>
        <w:numPr>
          <w:ilvl w:val="0"/>
          <w:numId w:val="7"/>
        </w:numPr>
      </w:pPr>
      <w:r>
        <w:lastRenderedPageBreak/>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lastRenderedPageBreak/>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669A0"/>
    <w:multiLevelType w:val="hybridMultilevel"/>
    <w:tmpl w:val="DCC61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5"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E7F85"/>
    <w:multiLevelType w:val="hybridMultilevel"/>
    <w:tmpl w:val="CB7A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8"/>
  </w:num>
  <w:num w:numId="4">
    <w:abstractNumId w:val="21"/>
  </w:num>
  <w:num w:numId="5">
    <w:abstractNumId w:val="24"/>
  </w:num>
  <w:num w:numId="6">
    <w:abstractNumId w:val="22"/>
  </w:num>
  <w:num w:numId="7">
    <w:abstractNumId w:val="14"/>
  </w:num>
  <w:num w:numId="8">
    <w:abstractNumId w:val="16"/>
  </w:num>
  <w:num w:numId="9">
    <w:abstractNumId w:val="15"/>
  </w:num>
  <w:num w:numId="10">
    <w:abstractNumId w:val="17"/>
  </w:num>
  <w:num w:numId="11">
    <w:abstractNumId w:val="23"/>
  </w:num>
  <w:num w:numId="12">
    <w:abstractNumId w:val="25"/>
  </w:num>
  <w:num w:numId="13">
    <w:abstractNumId w:val="0"/>
  </w:num>
  <w:num w:numId="14">
    <w:abstractNumId w:val="11"/>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2"/>
  </w:num>
  <w:num w:numId="23">
    <w:abstractNumId w:val="6"/>
  </w:num>
  <w:num w:numId="24">
    <w:abstractNumId w:val="9"/>
  </w:num>
  <w:num w:numId="25">
    <w:abstractNumId w:val="13"/>
  </w:num>
  <w:num w:numId="26">
    <w:abstractNumId w:val="19"/>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0F51"/>
    <w:rsid w:val="00005CD0"/>
    <w:rsid w:val="00016275"/>
    <w:rsid w:val="0002162F"/>
    <w:rsid w:val="00024037"/>
    <w:rsid w:val="00025684"/>
    <w:rsid w:val="000378E7"/>
    <w:rsid w:val="00044C2F"/>
    <w:rsid w:val="00057780"/>
    <w:rsid w:val="0006796F"/>
    <w:rsid w:val="00087C30"/>
    <w:rsid w:val="00096B7A"/>
    <w:rsid w:val="000A2756"/>
    <w:rsid w:val="000A5A6F"/>
    <w:rsid w:val="000B6CA1"/>
    <w:rsid w:val="000C7251"/>
    <w:rsid w:val="000D37CB"/>
    <w:rsid w:val="000D6A57"/>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2F7D90"/>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4376"/>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46E70"/>
    <w:rsid w:val="0045030E"/>
    <w:rsid w:val="00473B78"/>
    <w:rsid w:val="00475B17"/>
    <w:rsid w:val="00486969"/>
    <w:rsid w:val="004971A5"/>
    <w:rsid w:val="004A3E4E"/>
    <w:rsid w:val="004A4443"/>
    <w:rsid w:val="004B1D3C"/>
    <w:rsid w:val="004C5255"/>
    <w:rsid w:val="004D2D31"/>
    <w:rsid w:val="004D44DF"/>
    <w:rsid w:val="004E0030"/>
    <w:rsid w:val="004E194F"/>
    <w:rsid w:val="004E4E6C"/>
    <w:rsid w:val="004F3C90"/>
    <w:rsid w:val="005065E3"/>
    <w:rsid w:val="0051364D"/>
    <w:rsid w:val="00516F37"/>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17C25"/>
    <w:rsid w:val="00620D97"/>
    <w:rsid w:val="0064070D"/>
    <w:rsid w:val="00641BDD"/>
    <w:rsid w:val="0064762A"/>
    <w:rsid w:val="00653221"/>
    <w:rsid w:val="00654E6B"/>
    <w:rsid w:val="00667A65"/>
    <w:rsid w:val="0067528C"/>
    <w:rsid w:val="0068590C"/>
    <w:rsid w:val="00691FCC"/>
    <w:rsid w:val="006A17B8"/>
    <w:rsid w:val="006A6EB4"/>
    <w:rsid w:val="006B643E"/>
    <w:rsid w:val="006C0CA2"/>
    <w:rsid w:val="006C0F4B"/>
    <w:rsid w:val="006D1FCA"/>
    <w:rsid w:val="006D51A9"/>
    <w:rsid w:val="006D647D"/>
    <w:rsid w:val="006E0207"/>
    <w:rsid w:val="006E5497"/>
    <w:rsid w:val="006E6D82"/>
    <w:rsid w:val="006F399F"/>
    <w:rsid w:val="006F47A0"/>
    <w:rsid w:val="006F53C7"/>
    <w:rsid w:val="0070314F"/>
    <w:rsid w:val="007076E3"/>
    <w:rsid w:val="00714B8A"/>
    <w:rsid w:val="00725530"/>
    <w:rsid w:val="00727B59"/>
    <w:rsid w:val="007304C4"/>
    <w:rsid w:val="007352F7"/>
    <w:rsid w:val="00735D73"/>
    <w:rsid w:val="00742129"/>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7F2B3E"/>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97EFB"/>
    <w:rsid w:val="008A2818"/>
    <w:rsid w:val="008B15BE"/>
    <w:rsid w:val="008B3C2E"/>
    <w:rsid w:val="008C1675"/>
    <w:rsid w:val="008C16BB"/>
    <w:rsid w:val="008C70B4"/>
    <w:rsid w:val="008D133E"/>
    <w:rsid w:val="008F5A1A"/>
    <w:rsid w:val="00900FEE"/>
    <w:rsid w:val="00904168"/>
    <w:rsid w:val="00912CDD"/>
    <w:rsid w:val="009137A6"/>
    <w:rsid w:val="00921B09"/>
    <w:rsid w:val="009278BD"/>
    <w:rsid w:val="00927D5E"/>
    <w:rsid w:val="0094225A"/>
    <w:rsid w:val="00953C3C"/>
    <w:rsid w:val="00956C4B"/>
    <w:rsid w:val="00963779"/>
    <w:rsid w:val="009702DF"/>
    <w:rsid w:val="00975CE6"/>
    <w:rsid w:val="00983318"/>
    <w:rsid w:val="009A0E33"/>
    <w:rsid w:val="009A6422"/>
    <w:rsid w:val="009B30AE"/>
    <w:rsid w:val="009B579A"/>
    <w:rsid w:val="009B6485"/>
    <w:rsid w:val="009B7D19"/>
    <w:rsid w:val="009C64E7"/>
    <w:rsid w:val="009C7695"/>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3602"/>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CF3700"/>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47B1C"/>
    <w:rsid w:val="00D5017D"/>
    <w:rsid w:val="00D518EB"/>
    <w:rsid w:val="00D66B89"/>
    <w:rsid w:val="00D70EE0"/>
    <w:rsid w:val="00D72D30"/>
    <w:rsid w:val="00D76FAE"/>
    <w:rsid w:val="00D93D8A"/>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A1"/>
    <w:rsid w:val="00EC3AB7"/>
    <w:rsid w:val="00EC7852"/>
    <w:rsid w:val="00ED0C81"/>
    <w:rsid w:val="00ED7926"/>
    <w:rsid w:val="00EE014F"/>
    <w:rsid w:val="00EE1D0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4591</TotalTime>
  <Pages>13</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435</cp:revision>
  <dcterms:created xsi:type="dcterms:W3CDTF">2015-09-12T06:59:00Z</dcterms:created>
  <dcterms:modified xsi:type="dcterms:W3CDTF">2015-12-06T01:42:00Z</dcterms:modified>
</cp:coreProperties>
</file>