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b/>
          <w:bCs/>
          <w:i w:val="false"/>
          <w:iCs w:val="false"/>
          <w:color w:val="888888"/>
          <w:sz w:val="20"/>
          <w:szCs w:val="20"/>
        </w:rPr>
        <w:t xml:space="preserve">DOCUMENTO FICTÍCIO — MATERIAL DIDÁTICO</w:t>
      </w:r>
    </w:p>
    <w:p>
      <w:pPr>
        <w:spacing w:after="120"/>
      </w:pP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262A35"/>
          <w:sz w:val="44"/>
          <w:szCs w:val="44"/>
        </w:rPr>
        <w:t xml:space="preserve">Política de Segurança do Trabalho e Qualidade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B4C99"/>
          <w:sz w:val="28"/>
          <w:szCs w:val="28"/>
        </w:rPr>
        <w:t xml:space="preserve">Empresa fictícia · Indústria de eletroportáteis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Documento de referência para o Comitê SST · Qualidade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6E7688"/>
          <w:sz w:val="20"/>
          <w:szCs w:val="20"/>
        </w:rPr>
        <w:t xml:space="preserve">Versão do documento: 1.0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6E7688"/>
          <w:sz w:val="20"/>
          <w:szCs w:val="20"/>
        </w:rPr>
        <w:t xml:space="preserve">Data de emissão: janeiro de 2026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6E7688"/>
          <w:sz w:val="20"/>
          <w:szCs w:val="20"/>
        </w:rPr>
        <w:t xml:space="preserve">Revisão prevista: janeiro de 2027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b w:val="false"/>
          <w:bCs w:val="false"/>
          <w:i/>
          <w:iCs/>
          <w:color w:val="888888"/>
          <w:sz w:val="18"/>
          <w:szCs w:val="18"/>
        </w:rPr>
        <w:t xml:space="preserve">Este documento é fictício, criado como material didático para o programa PDL Mallory 2026 — módulo M5 (Liderança na Era da IA). Não representa política real da Mallory Eletroportáteis.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política estabelece as diretrizes para gestão integrada de segurança do trabalho, saúde ocupacional e qualidade de processos e produtos da empresa fictícia utilizada como referência no treinamento PDL Mallory 2026. O documento define papéis, ritos, indicadores e o funcionamento do Comitê SST · Qualidade, cuja função é assegurar a integridade das pessoas, a conformidade regulatória e a melhoria contínua dos processos produtivos.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política aplica-se a todas as unidades operacionais da empresa fictícia, incluindo linhas de injeção, montagem, embalagem, expedição e áreas administrativas, e vale para colaboradores próprios, terceiros permanentes e prestadores de serviço em atividade nas dependências.</w:t>
      </w:r>
    </w:p>
    <w:p>
      <w:pPr>
        <w:pStyle w:val="Heading1"/>
        <w:spacing w:after="200" w:before="400"/>
      </w:pPr>
      <w:r>
        <w:t xml:space="preserve">2. Escopo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Ficam abrangidos por esta política: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todos os processos produtivos e de suporte executados nas unidades industriais e administrativas;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todos os colaboradores próprios, prestadores permanentes e visitantes técnicos em atividade nas dependências;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todos os equipamentos, ferramentas e sistemas cuja operação exija procedimento formal de segurança;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cadeia de fornecedores diretos de matéria-prima e serviços críticos, no que se refere à conformidade documental exigida pelo comitê.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Ficam fora do escopo desta política os aspectos comerciais, financeiros e de recursos humanos que não tenham relação direta com risco ocupacional, conformidade regulatória ou qualidade de processo produtivo. Estes são tratados por políticas específicas.</w:t>
      </w:r>
    </w:p>
    <w:p>
      <w:pPr>
        <w:pStyle w:val="Heading1"/>
        <w:spacing w:after="200" w:before="400"/>
      </w:pPr>
      <w:r>
        <w:t xml:space="preserve">3. Referências normativas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observa as diretrizes gerais das seguintes normas e regulamentos aplicáveis à atividade industrial brasileira: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Normas Regulamentadoras do Ministério do Trabalho (NR-1, NR-6, NR-10, NR-12, NR-17, NR-35 e outras aplicáveis à atividade);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ABNT NBR ISO 45001:2018 — Sistemas de gestão de saúde e segurança ocupacional;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ABNT NBR ISO 9001:2015 — Sistemas de gestão da qualidade;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Lei Geral de Proteção de Dados (Lei 13.709/2018) para tratamento de informações pessoais em registros de incidente, exames ocupacionais e prontuários;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Convenções coletivas da categoria industrial aplicável.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citação nominal a normas nas atas e comunicados do comitê deve sempre indicar a versão vigente e o item específico referenciado, evitando referências genéricas.</w:t>
      </w:r>
    </w:p>
    <w:p>
      <w:pPr>
        <w:pStyle w:val="Heading1"/>
        <w:spacing w:after="200" w:before="400"/>
      </w:pPr>
      <w:r>
        <w:t xml:space="preserve">4. Definições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os fins desta política, adotam-se as seguintes definições: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Incidente — evento inesperado que resultou ou poderia ter resultado em lesão, doença ou dano.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Quase-acidente — incidente sem lesão nem dano material, cuja análise permite prevenir eventos futuros.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Acidente com lesão — incidente com afastamento igual ou superior a um turno.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conformidade — desvio em relação a especificação de produto, procedimento ou requisito regulatório.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Ação corretiva — intervenção pontual sobre causa imediata de um evento identificado.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Ação preventiva — intervenção sobre causa raiz visando eliminar recorrência.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DDS (Diálogo Diário de Segurança) — reunião breve de início de turno, coordenada pela liderança direta, para alinhamento de riscos do dia.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EPI — Equipamento de Proteção Individual, especificado por atividade e disponibilizado pelo empregador.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5. Responsabilidades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responsabilidades pela execução desta política ficam distribuídas conforme a estrutura abaixo. A tabela apresenta os papéis principais; responsabilidades específicas de cada função são detalhadas nos procedimentos operacionais correspondentes.</w:t>
      </w:r>
    </w:p>
    <w:p>
      <w:pPr>
        <w:spacing w:after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62A3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400"/>
            <w:shd w:fill="262A3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 principais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Comitê SST · Qualidade</w:t>
            </w:r>
          </w:p>
        </w:tc>
        <w:tc>
          <w:tcPr>
            <w:tcW w:type="dxa" w:w="6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Estabelecer diretrizes; aprovar planos de ação; monitorar indicadores; validar investigações de incidente crítico.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Coordenador de SST</w:t>
            </w:r>
          </w:p>
        </w:tc>
        <w:tc>
          <w:tcPr>
            <w:tcW w:type="dxa" w:w="6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Convocar reuniões; consolidar ata; encaminhar decisões; acompanhar cumprimento de prazos.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Líderes de área</w:t>
            </w:r>
          </w:p>
        </w:tc>
        <w:tc>
          <w:tcPr>
            <w:tcW w:type="dxa" w:w="6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Reportar ocorrências no prazo; executar ações preventivas e corretivas aprovadas; conduzir DDS semanal.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6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Comunicar situação de risco à liderança; usar EPI conforme especificação; participar de treinamentos obrigatórios.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Diretoria</w:t>
            </w:r>
          </w:p>
        </w:tc>
        <w:tc>
          <w:tcPr>
            <w:tcW w:type="dxa" w:w="6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Prover recursos; aprovar investimentos em segurança; ratificar mudanças estruturais na política.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ausência não justificada às reuniões ordinárias do comitê por três encontros consecutivos implica revisão da composição pelo coordenador, com submissão da recomposição à diretoria.</w:t>
      </w:r>
    </w:p>
    <w:p>
      <w:pPr>
        <w:pStyle w:val="Heading1"/>
        <w:spacing w:after="200" w:before="400"/>
      </w:pPr>
      <w:r>
        <w:t xml:space="preserve">6. Estrutura do Comitê SST · Qualidade</w:t>
      </w:r>
    </w:p>
    <w:p>
      <w:pPr>
        <w:pStyle w:val="Heading2"/>
        <w:spacing w:after="150" w:before="300"/>
      </w:pPr>
      <w:r>
        <w:t xml:space="preserve">6.1 Composição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Comitê SST · Qualidade é composto por: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coordenador de SST (secretaria executiva do comitê);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representante da qualidade (área industrial);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representante da liderança de produção;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representante da manutenção;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representante da CIPA;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representante do RH (nas pautas que envolvam saúde ocupacional).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Representantes suplentes podem ser designados formalmente. A diretoria participa como convidada permanente e pode chamar reunião extraordinária.</w:t>
      </w:r>
    </w:p>
    <w:p>
      <w:pPr>
        <w:pStyle w:val="Heading2"/>
        <w:spacing w:after="150" w:before="300"/>
      </w:pPr>
      <w:r>
        <w:t xml:space="preserve">6.2 Reuniões ordinárias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Periodicidade: semanal, preferencialmente às quintas-feiras no período da tarde. Duração-alvo: 60 minutos. Quórum mínimo: metade mais um dos membros efetivos, incluindo o coordenador.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pauta é preparada pelo coordenador com apoio dos líderes de área e distribuída até 24 horas antes da reunião. Assuntos supervenientes podem ser incluídos com aprovação da maioria simples dos presentes no início da reunião.</w:t>
      </w:r>
    </w:p>
    <w:p>
      <w:pPr>
        <w:pStyle w:val="Heading2"/>
        <w:spacing w:after="150" w:before="300"/>
      </w:pPr>
      <w:r>
        <w:t xml:space="preserve">6.3 Reuniões extraordinárias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Convocadas em até 24 horas para tratar incidente crítico, notificação regulatória urgente ou solicitação da diretoria. Podem ocorrer remotamente. Ata pode ser lavrada em formato reduzido.</w:t>
      </w:r>
    </w:p>
    <w:p>
      <w:pPr>
        <w:pStyle w:val="Heading2"/>
        <w:spacing w:after="150" w:before="300"/>
      </w:pPr>
      <w:r>
        <w:t xml:space="preserve">6.4 Ata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 reunião ordinária ou extraordinária gera ata contendo, no mínimo: data, presentes, pauta, decisões tomadas, encaminhamentos com responsável e prazo, e assinatura ou aprovação eletrônica do coordenador.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Nomes de colaboradores citados em contexto de incidente ou não conformidade devem ser anonimizados na ata circulada — usar identificação por função e turno. Nomes completos ficam em registro protegido de acesso restrito.</w:t>
      </w:r>
    </w:p>
    <w:p>
      <w:pPr>
        <w:pStyle w:val="Heading1"/>
        <w:spacing w:after="200" w:before="400"/>
      </w:pPr>
      <w:r>
        <w:t xml:space="preserve">7. Fluxo de tratamento de incidentes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incidente — incluindo quase-acidente — deve ser reportado ao coordenador de SST em até quatro horas do ocorrido. O reporte inicial pode ser verbal, mas o registro formal (formulário eletrônico ou papel) deve ser completado em até 24 horas.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fluxo padrão segue as seguintes etapas: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Comunicação imediata: colaborador comunica liderança direta; liderança comunica coordenador de SST.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Contenção: adoção de medidas emergenciais para evitar agravamento ou recorrência imediata.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Registro: preenchimento do formulário padrão com dados anonimizados.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Análise de causa raiz: aplicada a todo incidente com lesão e a quase-acidentes classificados como potencial crítico. Metodologia recomendada: 5 porquês ou Ishikawa.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Plano de ação: definição de ações corretivas e preventivas, com responsável nomeado e prazo.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Acompanhamento: monitoramento em reunião do comitê até conclusão; verificação de eficácia após 30 dias.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Encerramento formal: ata específica documentando conclusão.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Casos que envolvam afastamento, notificação a órgão regulatório ou impacto reputacional seguem também o protocolo específico de gestão de crises, conduzido pela diretoria.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8. Indicadores acompanhados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comitê acompanha mensalmente o painel abaixo. Metas anuais são revistas ao final de cada exercício, com base em benchmark setorial e histórico interno.</w:t>
      </w:r>
    </w:p>
    <w:p>
      <w:pPr>
        <w:spacing w:after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400"/>
        <w:gridCol w:w="1200"/>
      </w:tblGrid>
      <w:tr>
        <w:tc>
          <w:tcPr>
            <w:tcW w:type="dxa" w:w="3000"/>
            <w:shd w:fill="262A3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00"/>
            <w:shd w:fill="262A3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1400"/>
            <w:shd w:fill="262A3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anual</w:t>
            </w:r>
          </w:p>
        </w:tc>
        <w:tc>
          <w:tcPr>
            <w:tcW w:type="dxa" w:w="1200"/>
            <w:shd w:fill="262A3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frequência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(N.º acidentes × 1.000.000) / HHT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5,0</w:t>
            </w:r>
          </w:p>
        </w:tc>
        <w:tc>
          <w:tcPr>
            <w:tcW w:type="dxa" w:w="1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gravidade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(Dias perdidos × 1.000.000) / HHT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100</w:t>
            </w:r>
          </w:p>
        </w:tc>
        <w:tc>
          <w:tcPr>
            <w:tcW w:type="dxa" w:w="1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de quase-acidentes reportados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 / mês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15</w:t>
            </w:r>
          </w:p>
        </w:tc>
        <w:tc>
          <w:tcPr>
            <w:tcW w:type="dxa" w:w="1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EPI conforme na auditoria de rotina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(EPI conforme / EPI auditado) × 100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Quinzenal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Cumprimento de ações do comitê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(Ações concluídas no prazo / total) × 100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1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Indicadores complementares — como tempo médio de fechamento de não conformidade, custo de retrabalho por linha ou taxa de reclamação de cliente — podem ser incluídos por decisão do comitê, ficando registrados em ata.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publicação dos indicadores mensais para o conjunto de colaboradores é responsabilidade da comunicação interna, com validação prévia do coordenador para garantir que nenhum dado individual identificável seja divulgado.</w:t>
      </w:r>
    </w:p>
    <w:p>
      <w:pPr>
        <w:pStyle w:val="Heading1"/>
        <w:spacing w:after="200" w:before="400"/>
      </w:pPr>
      <w:r>
        <w:t xml:space="preserve">9. Proteção de dados e anonimização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registro que contenha dado pessoal — nome, matrícula, número de documento, informação de saúde ocupacional — deve ser armazenado em ambiente com controle de acesso, com registro de quem consulta, quando e por qual finalidade.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Documentos circulados fora do círculo restrito do comitê (comunicados internos, murais, notificações a áreas) devem estar anonimizados. A regra prática é: use função e turno em vez de nome; use faixa etária em vez de idade exata; use setor em vez de identificação de máquina específica quando isso permitir identificar o operador.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Solicitações de acesso a dado próprio por colaborador (direito garantido pela LGPD) devem ser encaminhadas ao coordenador em até cinco dias úteis, com resposta formal.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Ferramentas de apoio (incluindo inteligência artificial) só podem ser utilizadas com dados que já tenham passado por anonimização humana prévia. A anonimização não pode ser delegada à ferramenta.</w:t>
      </w:r>
    </w:p>
    <w:p>
      <w:pPr>
        <w:pStyle w:val="Heading1"/>
        <w:spacing w:after="200" w:before="400"/>
      </w:pPr>
      <w:r>
        <w:t xml:space="preserve">10. Aprovação, revisão e vigência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tem vigência até a próxima revisão programada. A revisão ordinária ocorre anualmente, no primeiro trimestre. Revisões extraordinárias podem ser solicitadas pelo coordenador ou pela diretoria em caso 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mudança regulatória relevante;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incidente crítico cuja análise indique falha na política;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mudança estrutural na empresa (nova unidade, mudança de portfólio, mudança de estrutura organizacional);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auditoria externa com apontamento sobre a política.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aprovação de nova versão cabe à diretoria, mediante recomendação formal do comitê. Após aprovação, a nova versão substitui integralmente a anterior; versões antigas ficam arquivadas por sete anos para efeito de auditoria.</w:t>
      </w:r>
    </w:p>
    <w:p>
      <w:pPr>
        <w:spacing w:after="120"/>
      </w:pPr>
    </w:p>
    <w:p>
      <w:pPr>
        <w:spacing w:after="120"/>
        <w:jc w:val="center"/>
      </w:pPr>
      <w:r>
        <w:rPr>
          <w:b w:val="false"/>
          <w:bCs w:val="false"/>
          <w:i/>
          <w:iCs/>
          <w:color w:val="888888"/>
          <w:sz w:val="18"/>
          <w:szCs w:val="18"/>
        </w:rPr>
        <w:t xml:space="preserve">Documento aprovado pela diretoria em janeiro de 2026 (documento fictício, sem assinatura real).</w:t>
      </w:r>
    </w:p>
    <w:p>
      <w:pPr>
        <w:spacing w:after="120"/>
      </w:pP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888888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7688"/>
        <w:sz w:val="18"/>
        <w:szCs w:val="18"/>
      </w:rPr>
      <w:t xml:space="preserve">PDL Mallory 2026 · Material didático · página </w:t>
    </w:r>
    <w:r>
      <w:rPr>
        <w:color w:val="6E76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E7688"/>
        <w:sz w:val="18"/>
        <w:szCs w:val="18"/>
      </w:rPr>
      <w:t xml:space="preserve"> de </w:t>
    </w:r>
    <w:r>
      <w:rPr>
        <w:color w:val="6E76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7688"/>
        <w:sz w:val="18"/>
        <w:szCs w:val="18"/>
      </w:rPr>
      <w:t xml:space="preserve">Política SST · Qualidade — DOCUMENTO FICTÍCIO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262A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5B4C9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SST · Qualidade — Documento fictício de treinamento</dc:title>
  <dc:creator>PDL Mallory 2026 · Material fictício</dc:creator>
  <cp:lastModifiedBy>Un-named</cp:lastModifiedBy>
  <cp:revision>1</cp:revision>
  <dcterms:created xsi:type="dcterms:W3CDTF">2026-07-21T23:58:54.222Z</dcterms:created>
  <dcterms:modified xsi:type="dcterms:W3CDTF">2026-07-21T23:58:54.223Z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