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7858" w14:textId="77777777" w:rsidR="00E34D36" w:rsidRDefault="00000000">
      <w:pPr>
        <w:jc w:val="center"/>
        <w:rPr>
          <w:rFonts w:hint="eastAsia"/>
        </w:rPr>
      </w:pPr>
      <w:r>
        <w:rPr>
          <w:b/>
          <w:color w:val="102A43"/>
          <w:sz w:val="50"/>
        </w:rPr>
        <w:t>Voice Talent Platform — Discovery Summary</w:t>
      </w:r>
    </w:p>
    <w:p w14:paraId="4252B07E" w14:textId="77777777" w:rsidR="00E34D36" w:rsidRDefault="00000000">
      <w:pPr>
        <w:jc w:val="center"/>
        <w:rPr>
          <w:rFonts w:hint="eastAsia"/>
        </w:rPr>
      </w:pPr>
      <w:r>
        <w:rPr>
          <w:color w:val="5B6777"/>
          <w:sz w:val="22"/>
        </w:rPr>
        <w:t>Milestone 1 | Discovery &amp; Product Direction | Prepared for Chester Tadeja / Voice Talent International</w:t>
      </w:r>
    </w:p>
    <w:p w14:paraId="7949BA98" w14:textId="77777777" w:rsidR="00E34D36" w:rsidRDefault="00000000">
      <w:pPr>
        <w:jc w:val="center"/>
        <w:rPr>
          <w:rFonts w:hint="eastAsia"/>
        </w:rPr>
      </w:pPr>
      <w:r>
        <w:rPr>
          <w:b/>
          <w:color w:val="2563EB"/>
          <w:sz w:val="18"/>
        </w:rPr>
        <w:t>Prepared by ShayAppsInc LLC</w:t>
      </w:r>
    </w:p>
    <w:p w14:paraId="1C885DD8" w14:textId="77777777" w:rsidR="00E34D36" w:rsidRDefault="00000000">
      <w:pPr>
        <w:pStyle w:val="Heading1"/>
      </w:pPr>
      <w:r>
        <w:t>Purpose</w:t>
      </w:r>
    </w:p>
    <w:p w14:paraId="3684EE6D" w14:textId="77777777" w:rsidR="00E34D36" w:rsidRDefault="00000000">
      <w:pPr>
        <w:rPr>
          <w:rFonts w:hint="eastAsia"/>
        </w:rPr>
      </w:pPr>
      <w:r>
        <w:t>This document captures the current understanding of Voice Talent International (VTI), the operating model discussed during the kickoff, the workflow supplied by Chester, and the representative Call Sheet supplied for a live event. It is intentionally a discovery document—not yet a final Business Requirements Document or technical specification.</w:t>
      </w:r>
    </w:p>
    <w:tbl>
      <w:tblPr>
        <w:tblW w:w="0" w:type="auto"/>
        <w:jc w:val="center"/>
        <w:tblLook w:val="04A0" w:firstRow="1" w:lastRow="0" w:firstColumn="1" w:lastColumn="0" w:noHBand="0" w:noVBand="1"/>
      </w:tblPr>
      <w:tblGrid>
        <w:gridCol w:w="10224"/>
      </w:tblGrid>
      <w:tr w:rsidR="00E34D36" w14:paraId="4DDAAA74" w14:textId="77777777">
        <w:trPr>
          <w:jc w:val="center"/>
        </w:trPr>
        <w:tc>
          <w:tcPr>
            <w:tcW w:w="10224" w:type="dxa"/>
            <w:shd w:val="clear" w:color="auto" w:fill="F4F7FB"/>
          </w:tcPr>
          <w:p w14:paraId="24BBA5F7" w14:textId="77777777" w:rsidR="00E34D36" w:rsidRDefault="00000000">
            <w:pPr>
              <w:rPr>
                <w:rFonts w:hint="eastAsia"/>
              </w:rPr>
            </w:pPr>
            <w:r>
              <w:rPr>
                <w:b/>
                <w:color w:val="2563EB"/>
              </w:rPr>
              <w:t>Executive takeaway</w:t>
            </w:r>
            <w:r>
              <w:rPr>
                <w:b/>
                <w:color w:val="2563EB"/>
              </w:rPr>
              <w:br/>
            </w:r>
            <w:r>
              <w:t>VTI has reached the point where the business process is too dependent on Chester’s memory, manual coordination, disconnected tools, and spreadsheets/process knowledge. The opportunity is to create a controlled operational platform that gives Chester a 360°/35,000-foot view while giving readers a simple, secure workflow for onboarding, assignments, event execution, communications, expenses, and debriefs.</w:t>
            </w:r>
          </w:p>
        </w:tc>
      </w:tr>
    </w:tbl>
    <w:p w14:paraId="58CA070B" w14:textId="77777777" w:rsidR="00E34D36" w:rsidRDefault="00E34D36">
      <w:pPr>
        <w:rPr>
          <w:rFonts w:hint="eastAsia"/>
        </w:rPr>
      </w:pPr>
    </w:p>
    <w:p w14:paraId="597D2835" w14:textId="77777777" w:rsidR="00E34D36" w:rsidRDefault="00000000">
      <w:pPr>
        <w:pStyle w:val="Heading1"/>
      </w:pPr>
      <w:r>
        <w:t>1. Business &amp; Product Context</w:t>
      </w:r>
    </w:p>
    <w:p w14:paraId="317C52B8" w14:textId="77777777" w:rsidR="00E34D36" w:rsidRDefault="00000000">
      <w:pPr>
        <w:pStyle w:val="ListBullet"/>
        <w:rPr>
          <w:rFonts w:hint="eastAsia"/>
        </w:rPr>
      </w:pPr>
      <w:r>
        <w:t>VTI provides voice/name-reading services for university commencement and convocation events by matching universities with qualified readers.</w:t>
      </w:r>
    </w:p>
    <w:p w14:paraId="097E320A" w14:textId="77777777" w:rsidR="00E34D36" w:rsidRDefault="00000000">
      <w:pPr>
        <w:pStyle w:val="ListBullet"/>
        <w:rPr>
          <w:rFonts w:hint="eastAsia"/>
        </w:rPr>
      </w:pPr>
      <w:r>
        <w:t>The operating model has two primary sides: University/Client workflow and Reader workflow.</w:t>
      </w:r>
    </w:p>
    <w:p w14:paraId="49527144" w14:textId="77777777" w:rsidR="00E34D36" w:rsidRDefault="00000000">
      <w:pPr>
        <w:pStyle w:val="ListBullet"/>
        <w:rPr>
          <w:rFonts w:hint="eastAsia"/>
        </w:rPr>
      </w:pPr>
      <w:r>
        <w:t>The immediate product objective is to consolidate and streamline the operational process rather than simply replace one existing application with another.</w:t>
      </w:r>
    </w:p>
    <w:p w14:paraId="7AD00A0D" w14:textId="77777777" w:rsidR="00E34D36" w:rsidRDefault="00000000">
      <w:pPr>
        <w:pStyle w:val="ListBullet"/>
        <w:rPr>
          <w:rFonts w:hint="eastAsia"/>
        </w:rPr>
      </w:pPr>
      <w:r>
        <w:t>Chester wants the system to move critical process knowledge out of his head and into a visible, manageable system.</w:t>
      </w:r>
    </w:p>
    <w:p w14:paraId="1A1E9873" w14:textId="77777777" w:rsidR="00E34D36" w:rsidRDefault="00000000">
      <w:pPr>
        <w:pStyle w:val="ListBullet"/>
        <w:rPr>
          <w:rFonts w:hint="eastAsia"/>
        </w:rPr>
      </w:pPr>
      <w:r>
        <w:t>Success is explicitly tied to better visibility, identifying process gaps, reducing manual work, and giving Chester a 360°/35,000-foot operational view.</w:t>
      </w:r>
    </w:p>
    <w:p w14:paraId="22CB33D8" w14:textId="77777777" w:rsidR="00E34D36" w:rsidRDefault="00000000">
      <w:pPr>
        <w:pStyle w:val="ListBullet"/>
        <w:rPr>
          <w:rFonts w:hint="eastAsia"/>
        </w:rPr>
      </w:pPr>
      <w:r>
        <w:t>Chester is cautious about automation removing control; the platform must therefore make automation transparent, editable, and subject to administrative oversight.</w:t>
      </w:r>
    </w:p>
    <w:p w14:paraId="6890A48E" w14:textId="77777777" w:rsidR="00E34D36" w:rsidRDefault="00000000">
      <w:pPr>
        <w:pStyle w:val="Heading1"/>
      </w:pPr>
      <w:r>
        <w:t>2. Primary User Groups</w:t>
      </w:r>
    </w:p>
    <w:tbl>
      <w:tblPr>
        <w:tblW w:w="0" w:type="auto"/>
        <w:jc w:val="center"/>
        <w:tblLook w:val="04A0" w:firstRow="1" w:lastRow="0" w:firstColumn="1" w:lastColumn="0" w:noHBand="0" w:noVBand="1"/>
      </w:tblPr>
      <w:tblGrid>
        <w:gridCol w:w="2556"/>
        <w:gridCol w:w="2556"/>
        <w:gridCol w:w="2556"/>
        <w:gridCol w:w="2556"/>
      </w:tblGrid>
      <w:tr w:rsidR="00E34D36" w14:paraId="17F1C78B" w14:textId="77777777">
        <w:trPr>
          <w:jc w:val="center"/>
        </w:trPr>
        <w:tc>
          <w:tcPr>
            <w:tcW w:w="2556" w:type="dxa"/>
            <w:shd w:val="clear" w:color="auto" w:fill="102A43"/>
            <w:vAlign w:val="center"/>
          </w:tcPr>
          <w:p w14:paraId="1005D98B" w14:textId="77777777" w:rsidR="00E34D36" w:rsidRDefault="00000000">
            <w:pPr>
              <w:rPr>
                <w:rFonts w:hint="eastAsia"/>
              </w:rPr>
            </w:pPr>
            <w:r>
              <w:rPr>
                <w:b/>
                <w:color w:val="FFFFFF"/>
                <w:sz w:val="18"/>
              </w:rPr>
              <w:t>User</w:t>
            </w:r>
          </w:p>
        </w:tc>
        <w:tc>
          <w:tcPr>
            <w:tcW w:w="2556" w:type="dxa"/>
            <w:shd w:val="clear" w:color="auto" w:fill="102A43"/>
            <w:vAlign w:val="center"/>
          </w:tcPr>
          <w:p w14:paraId="4B7769EF" w14:textId="77777777" w:rsidR="00E34D36" w:rsidRDefault="00000000">
            <w:pPr>
              <w:rPr>
                <w:rFonts w:hint="eastAsia"/>
              </w:rPr>
            </w:pPr>
            <w:r>
              <w:rPr>
                <w:b/>
                <w:color w:val="FFFFFF"/>
                <w:sz w:val="18"/>
              </w:rPr>
              <w:t>Primary responsibility</w:t>
            </w:r>
          </w:p>
        </w:tc>
        <w:tc>
          <w:tcPr>
            <w:tcW w:w="2556" w:type="dxa"/>
            <w:shd w:val="clear" w:color="auto" w:fill="102A43"/>
            <w:vAlign w:val="center"/>
          </w:tcPr>
          <w:p w14:paraId="3F27D7C2" w14:textId="77777777" w:rsidR="00E34D36" w:rsidRDefault="00000000">
            <w:pPr>
              <w:rPr>
                <w:rFonts w:hint="eastAsia"/>
              </w:rPr>
            </w:pPr>
            <w:r>
              <w:rPr>
                <w:b/>
                <w:color w:val="FFFFFF"/>
                <w:sz w:val="18"/>
              </w:rPr>
              <w:t>Likely interaction</w:t>
            </w:r>
          </w:p>
        </w:tc>
        <w:tc>
          <w:tcPr>
            <w:tcW w:w="2556" w:type="dxa"/>
            <w:shd w:val="clear" w:color="auto" w:fill="102A43"/>
            <w:vAlign w:val="center"/>
          </w:tcPr>
          <w:p w14:paraId="768CF076" w14:textId="77777777" w:rsidR="00E34D36" w:rsidRDefault="00000000">
            <w:pPr>
              <w:rPr>
                <w:rFonts w:hint="eastAsia"/>
              </w:rPr>
            </w:pPr>
            <w:r>
              <w:rPr>
                <w:b/>
                <w:color w:val="FFFFFF"/>
                <w:sz w:val="18"/>
              </w:rPr>
              <w:t>Priority</w:t>
            </w:r>
          </w:p>
        </w:tc>
      </w:tr>
      <w:tr w:rsidR="00E34D36" w14:paraId="1187776B" w14:textId="77777777">
        <w:trPr>
          <w:jc w:val="center"/>
        </w:trPr>
        <w:tc>
          <w:tcPr>
            <w:tcW w:w="2556" w:type="dxa"/>
            <w:vAlign w:val="center"/>
          </w:tcPr>
          <w:p w14:paraId="3180EFE5" w14:textId="77777777" w:rsidR="00E34D36" w:rsidRDefault="00000000">
            <w:pPr>
              <w:rPr>
                <w:rFonts w:hint="eastAsia"/>
              </w:rPr>
            </w:pPr>
            <w:r>
              <w:rPr>
                <w:sz w:val="18"/>
              </w:rPr>
              <w:t>VTI Admin / Chester</w:t>
            </w:r>
          </w:p>
        </w:tc>
        <w:tc>
          <w:tcPr>
            <w:tcW w:w="2556" w:type="dxa"/>
            <w:vAlign w:val="center"/>
          </w:tcPr>
          <w:p w14:paraId="3A7FFA36" w14:textId="77777777" w:rsidR="00E34D36" w:rsidRDefault="00000000">
            <w:pPr>
              <w:rPr>
                <w:rFonts w:hint="eastAsia"/>
              </w:rPr>
            </w:pPr>
            <w:r>
              <w:rPr>
                <w:sz w:val="18"/>
              </w:rPr>
              <w:t>Owns operations, clients, readers, assignments, financial tracking and oversight</w:t>
            </w:r>
          </w:p>
        </w:tc>
        <w:tc>
          <w:tcPr>
            <w:tcW w:w="2556" w:type="dxa"/>
            <w:vAlign w:val="center"/>
          </w:tcPr>
          <w:p w14:paraId="5AAEB12C" w14:textId="77777777" w:rsidR="00E34D36" w:rsidRDefault="00000000">
            <w:pPr>
              <w:rPr>
                <w:rFonts w:hint="eastAsia"/>
              </w:rPr>
            </w:pPr>
            <w:r>
              <w:rPr>
                <w:sz w:val="18"/>
              </w:rPr>
              <w:t>High / daily</w:t>
            </w:r>
          </w:p>
        </w:tc>
        <w:tc>
          <w:tcPr>
            <w:tcW w:w="2556" w:type="dxa"/>
            <w:vAlign w:val="center"/>
          </w:tcPr>
          <w:p w14:paraId="7ACFD0BA" w14:textId="77777777" w:rsidR="00E34D36" w:rsidRDefault="00000000">
            <w:pPr>
              <w:rPr>
                <w:rFonts w:hint="eastAsia"/>
              </w:rPr>
            </w:pPr>
            <w:r>
              <w:rPr>
                <w:sz w:val="18"/>
              </w:rPr>
              <w:t>Critical</w:t>
            </w:r>
          </w:p>
        </w:tc>
      </w:tr>
      <w:tr w:rsidR="00E34D36" w14:paraId="2BC75723" w14:textId="77777777">
        <w:trPr>
          <w:jc w:val="center"/>
        </w:trPr>
        <w:tc>
          <w:tcPr>
            <w:tcW w:w="2556" w:type="dxa"/>
            <w:vAlign w:val="center"/>
          </w:tcPr>
          <w:p w14:paraId="14FD037D" w14:textId="77777777" w:rsidR="00E34D36" w:rsidRDefault="00000000">
            <w:pPr>
              <w:rPr>
                <w:rFonts w:hint="eastAsia"/>
              </w:rPr>
            </w:pPr>
            <w:r>
              <w:rPr>
                <w:sz w:val="18"/>
              </w:rPr>
              <w:t>Reader / Subcontractor</w:t>
            </w:r>
          </w:p>
        </w:tc>
        <w:tc>
          <w:tcPr>
            <w:tcW w:w="2556" w:type="dxa"/>
            <w:vAlign w:val="center"/>
          </w:tcPr>
          <w:p w14:paraId="497B8E0E" w14:textId="77777777" w:rsidR="00E34D36" w:rsidRDefault="00000000">
            <w:pPr>
              <w:rPr>
                <w:rFonts w:hint="eastAsia"/>
              </w:rPr>
            </w:pPr>
            <w:r>
              <w:rPr>
                <w:sz w:val="18"/>
              </w:rPr>
              <w:t>Onboarding, assignments, event details, communication, expenses, reports</w:t>
            </w:r>
          </w:p>
        </w:tc>
        <w:tc>
          <w:tcPr>
            <w:tcW w:w="2556" w:type="dxa"/>
            <w:vAlign w:val="center"/>
          </w:tcPr>
          <w:p w14:paraId="2405790B" w14:textId="77777777" w:rsidR="00E34D36" w:rsidRDefault="00000000">
            <w:pPr>
              <w:rPr>
                <w:rFonts w:hint="eastAsia"/>
              </w:rPr>
            </w:pPr>
            <w:r>
              <w:rPr>
                <w:sz w:val="18"/>
              </w:rPr>
              <w:t>High / event-driven</w:t>
            </w:r>
          </w:p>
        </w:tc>
        <w:tc>
          <w:tcPr>
            <w:tcW w:w="2556" w:type="dxa"/>
            <w:vAlign w:val="center"/>
          </w:tcPr>
          <w:p w14:paraId="01015931" w14:textId="77777777" w:rsidR="00E34D36" w:rsidRDefault="00000000">
            <w:pPr>
              <w:rPr>
                <w:rFonts w:hint="eastAsia"/>
              </w:rPr>
            </w:pPr>
            <w:r>
              <w:rPr>
                <w:sz w:val="18"/>
              </w:rPr>
              <w:t>Critical</w:t>
            </w:r>
          </w:p>
        </w:tc>
      </w:tr>
      <w:tr w:rsidR="00E34D36" w14:paraId="006C6F47" w14:textId="77777777">
        <w:trPr>
          <w:jc w:val="center"/>
        </w:trPr>
        <w:tc>
          <w:tcPr>
            <w:tcW w:w="2556" w:type="dxa"/>
            <w:vAlign w:val="center"/>
          </w:tcPr>
          <w:p w14:paraId="1966A53F" w14:textId="77777777" w:rsidR="00E34D36" w:rsidRDefault="00000000">
            <w:pPr>
              <w:rPr>
                <w:rFonts w:hint="eastAsia"/>
              </w:rPr>
            </w:pPr>
            <w:r>
              <w:rPr>
                <w:sz w:val="18"/>
              </w:rPr>
              <w:t>University / Client Contact</w:t>
            </w:r>
          </w:p>
        </w:tc>
        <w:tc>
          <w:tcPr>
            <w:tcW w:w="2556" w:type="dxa"/>
            <w:vAlign w:val="center"/>
          </w:tcPr>
          <w:p w14:paraId="11DE2477" w14:textId="77777777" w:rsidR="00E34D36" w:rsidRDefault="00000000">
            <w:pPr>
              <w:rPr>
                <w:rFonts w:hint="eastAsia"/>
              </w:rPr>
            </w:pPr>
            <w:r>
              <w:rPr>
                <w:sz w:val="18"/>
              </w:rPr>
              <w:t xml:space="preserve">Inquiry, coordination, </w:t>
            </w:r>
            <w:r>
              <w:rPr>
                <w:sz w:val="18"/>
              </w:rPr>
              <w:lastRenderedPageBreak/>
              <w:t>estimates, event details, communications, debrief</w:t>
            </w:r>
          </w:p>
        </w:tc>
        <w:tc>
          <w:tcPr>
            <w:tcW w:w="2556" w:type="dxa"/>
            <w:vAlign w:val="center"/>
          </w:tcPr>
          <w:p w14:paraId="12299867" w14:textId="77777777" w:rsidR="00E34D36" w:rsidRDefault="00000000">
            <w:pPr>
              <w:rPr>
                <w:rFonts w:hint="eastAsia"/>
              </w:rPr>
            </w:pPr>
            <w:r>
              <w:rPr>
                <w:sz w:val="18"/>
              </w:rPr>
              <w:lastRenderedPageBreak/>
              <w:t>Medium</w:t>
            </w:r>
          </w:p>
        </w:tc>
        <w:tc>
          <w:tcPr>
            <w:tcW w:w="2556" w:type="dxa"/>
            <w:vAlign w:val="center"/>
          </w:tcPr>
          <w:p w14:paraId="60C854DC" w14:textId="77777777" w:rsidR="00E34D36" w:rsidRDefault="00000000">
            <w:pPr>
              <w:rPr>
                <w:rFonts w:hint="eastAsia"/>
              </w:rPr>
            </w:pPr>
            <w:r>
              <w:rPr>
                <w:sz w:val="18"/>
              </w:rPr>
              <w:t>High</w:t>
            </w:r>
          </w:p>
        </w:tc>
      </w:tr>
      <w:tr w:rsidR="00E34D36" w14:paraId="4EF569C3" w14:textId="77777777">
        <w:trPr>
          <w:jc w:val="center"/>
        </w:trPr>
        <w:tc>
          <w:tcPr>
            <w:tcW w:w="2556" w:type="dxa"/>
            <w:vAlign w:val="center"/>
          </w:tcPr>
          <w:p w14:paraId="5AF5AF70" w14:textId="77777777" w:rsidR="00E34D36" w:rsidRDefault="00000000">
            <w:pPr>
              <w:rPr>
                <w:rFonts w:hint="eastAsia"/>
              </w:rPr>
            </w:pPr>
            <w:r>
              <w:rPr>
                <w:sz w:val="18"/>
              </w:rPr>
              <w:t>Internal/Sub-admin roles</w:t>
            </w:r>
          </w:p>
        </w:tc>
        <w:tc>
          <w:tcPr>
            <w:tcW w:w="2556" w:type="dxa"/>
            <w:vAlign w:val="center"/>
          </w:tcPr>
          <w:p w14:paraId="1E5841D1" w14:textId="77777777" w:rsidR="00E34D36" w:rsidRDefault="00000000">
            <w:pPr>
              <w:rPr>
                <w:rFonts w:hint="eastAsia"/>
              </w:rPr>
            </w:pPr>
            <w:r>
              <w:rPr>
                <w:sz w:val="18"/>
              </w:rPr>
              <w:t>Potential future operational support and controlled access</w:t>
            </w:r>
          </w:p>
        </w:tc>
        <w:tc>
          <w:tcPr>
            <w:tcW w:w="2556" w:type="dxa"/>
            <w:vAlign w:val="center"/>
          </w:tcPr>
          <w:p w14:paraId="3AE1C3F8" w14:textId="77777777" w:rsidR="00E34D36" w:rsidRDefault="00000000">
            <w:pPr>
              <w:rPr>
                <w:rFonts w:hint="eastAsia"/>
              </w:rPr>
            </w:pPr>
            <w:r>
              <w:rPr>
                <w:sz w:val="18"/>
              </w:rPr>
              <w:t>Medium</w:t>
            </w:r>
          </w:p>
        </w:tc>
        <w:tc>
          <w:tcPr>
            <w:tcW w:w="2556" w:type="dxa"/>
            <w:vAlign w:val="center"/>
          </w:tcPr>
          <w:p w14:paraId="0227E128" w14:textId="77777777" w:rsidR="00E34D36" w:rsidRDefault="00000000">
            <w:pPr>
              <w:rPr>
                <w:rFonts w:hint="eastAsia"/>
              </w:rPr>
            </w:pPr>
            <w:r>
              <w:rPr>
                <w:sz w:val="18"/>
              </w:rPr>
              <w:t>Later / to validate</w:t>
            </w:r>
          </w:p>
        </w:tc>
      </w:tr>
    </w:tbl>
    <w:p w14:paraId="37E73A74" w14:textId="77777777" w:rsidR="00E34D36" w:rsidRDefault="00E34D36">
      <w:pPr>
        <w:rPr>
          <w:rFonts w:hint="eastAsia"/>
        </w:rPr>
      </w:pPr>
    </w:p>
    <w:p w14:paraId="3CBA521A" w14:textId="77777777" w:rsidR="00E34D36" w:rsidRDefault="00000000">
      <w:pPr>
        <w:pStyle w:val="Heading1"/>
      </w:pPr>
      <w:r>
        <w:t>3. Current University Workflow</w:t>
      </w:r>
    </w:p>
    <w:p w14:paraId="52EC80BE" w14:textId="77777777" w:rsidR="00E34D36" w:rsidRDefault="00000000">
      <w:pPr>
        <w:pStyle w:val="ListBullet"/>
        <w:rPr>
          <w:rFonts w:hint="eastAsia"/>
        </w:rPr>
      </w:pPr>
      <w:r>
        <w:t>University contacts VTI about name-reading services.</w:t>
      </w:r>
    </w:p>
    <w:p w14:paraId="5613D5EF" w14:textId="77777777" w:rsidR="00E34D36" w:rsidRDefault="00000000">
      <w:pPr>
        <w:pStyle w:val="ListBullet"/>
        <w:rPr>
          <w:rFonts w:hint="eastAsia"/>
        </w:rPr>
      </w:pPr>
      <w:r>
        <w:t>VTI needs to log the inquiry and initiate a workflow.</w:t>
      </w:r>
    </w:p>
    <w:p w14:paraId="520314A7" w14:textId="77777777" w:rsidR="00E34D36" w:rsidRDefault="00000000">
      <w:pPr>
        <w:pStyle w:val="ListBullet"/>
        <w:rPr>
          <w:rFonts w:hint="eastAsia"/>
        </w:rPr>
      </w:pPr>
      <w:r>
        <w:t>If VTI is interested/available, the event is placed on the calendar and reader availability must be assessed.</w:t>
      </w:r>
    </w:p>
    <w:p w14:paraId="5B3C3AE9" w14:textId="77777777" w:rsidR="00E34D36" w:rsidRDefault="00000000">
      <w:pPr>
        <w:pStyle w:val="ListBullet"/>
        <w:rPr>
          <w:rFonts w:hint="eastAsia"/>
        </w:rPr>
      </w:pPr>
      <w:r>
        <w:t>New universities need onboarding into the billing/customer system; returning universities need a repeatable workflow.</w:t>
      </w:r>
    </w:p>
    <w:p w14:paraId="30ACDA3B" w14:textId="77777777" w:rsidR="00E34D36" w:rsidRDefault="00000000">
      <w:pPr>
        <w:pStyle w:val="ListBullet"/>
        <w:rPr>
          <w:rFonts w:hint="eastAsia"/>
        </w:rPr>
      </w:pPr>
      <w:r>
        <w:t>VTI generates an estimate.</w:t>
      </w:r>
    </w:p>
    <w:p w14:paraId="723CDE40" w14:textId="77777777" w:rsidR="00E34D36" w:rsidRDefault="00000000">
      <w:pPr>
        <w:pStyle w:val="ListBullet"/>
        <w:rPr>
          <w:rFonts w:hint="eastAsia"/>
        </w:rPr>
      </w:pPr>
      <w:r>
        <w:t>Insurance/compliance requirements must be tracked.</w:t>
      </w:r>
    </w:p>
    <w:p w14:paraId="24272EC5" w14:textId="77777777" w:rsidR="00E34D36" w:rsidRDefault="00000000">
      <w:pPr>
        <w:pStyle w:val="ListBullet"/>
        <w:rPr>
          <w:rFonts w:hint="eastAsia"/>
        </w:rPr>
      </w:pPr>
      <w:r>
        <w:t>VTI invoices the university and tracks whether payment has been received.</w:t>
      </w:r>
    </w:p>
    <w:p w14:paraId="0E39F63D" w14:textId="77777777" w:rsidR="00E34D36" w:rsidRDefault="00000000">
      <w:pPr>
        <w:pStyle w:val="ListBullet"/>
        <w:rPr>
          <w:rFonts w:hint="eastAsia"/>
        </w:rPr>
      </w:pPr>
      <w:r>
        <w:t>The future system should preserve visibility across the entire lifecycle from inquiry through payment and debrief.</w:t>
      </w:r>
    </w:p>
    <w:p w14:paraId="60A83E40" w14:textId="77777777" w:rsidR="00E34D36" w:rsidRDefault="00000000">
      <w:pPr>
        <w:pStyle w:val="Heading1"/>
      </w:pPr>
      <w:r>
        <w:t>4. Current Reader Workflow</w:t>
      </w:r>
    </w:p>
    <w:p w14:paraId="31691104" w14:textId="77777777" w:rsidR="00E34D36" w:rsidRDefault="00000000">
      <w:pPr>
        <w:pStyle w:val="ListBullet"/>
        <w:rPr>
          <w:rFonts w:hint="eastAsia"/>
        </w:rPr>
      </w:pPr>
      <w:r>
        <w:t>Readers need to be visually tracked as new or returning resources.</w:t>
      </w:r>
    </w:p>
    <w:p w14:paraId="26BE9248" w14:textId="77777777" w:rsidR="00E34D36" w:rsidRDefault="00000000">
      <w:pPr>
        <w:pStyle w:val="ListBullet"/>
        <w:rPr>
          <w:rFonts w:hint="eastAsia"/>
        </w:rPr>
      </w:pPr>
      <w:r>
        <w:t>New readers require onboarding as subcontractors, including secure documents, sensitive information and NDA execution.</w:t>
      </w:r>
    </w:p>
    <w:p w14:paraId="77FEA719" w14:textId="77777777" w:rsidR="00E34D36" w:rsidRDefault="00000000">
      <w:pPr>
        <w:pStyle w:val="ListBullet"/>
        <w:rPr>
          <w:rFonts w:hint="eastAsia"/>
        </w:rPr>
      </w:pPr>
      <w:r>
        <w:t>Readers need access to name lists and Call Sheets before events.</w:t>
      </w:r>
    </w:p>
    <w:p w14:paraId="7F5D6D34" w14:textId="77777777" w:rsidR="00E34D36" w:rsidRDefault="00000000">
      <w:pPr>
        <w:pStyle w:val="ListBullet"/>
        <w:rPr>
          <w:rFonts w:hint="eastAsia"/>
        </w:rPr>
      </w:pPr>
      <w:r>
        <w:t>Call Sheets contain event, travel, accommodation, transfer/rideshare and compensation information.</w:t>
      </w:r>
    </w:p>
    <w:p w14:paraId="3E335F4C" w14:textId="77777777" w:rsidR="00E34D36" w:rsidRDefault="00000000">
      <w:pPr>
        <w:pStyle w:val="ListBullet"/>
        <w:rPr>
          <w:rFonts w:hint="eastAsia"/>
        </w:rPr>
      </w:pPr>
      <w:r>
        <w:t>Readers need private or grouped communication and, in some situations, communication with university coordinators.</w:t>
      </w:r>
    </w:p>
    <w:p w14:paraId="53DBC6BE" w14:textId="77777777" w:rsidR="00E34D36" w:rsidRDefault="00000000">
      <w:pPr>
        <w:pStyle w:val="ListBullet"/>
        <w:rPr>
          <w:rFonts w:hint="eastAsia"/>
        </w:rPr>
      </w:pPr>
      <w:r>
        <w:t>Readers need expense capture, receipt submission, expense reports, reimbursement tracking and payment visibility.</w:t>
      </w:r>
    </w:p>
    <w:p w14:paraId="31644296" w14:textId="77777777" w:rsidR="00E34D36" w:rsidRDefault="00000000">
      <w:pPr>
        <w:pStyle w:val="ListBullet"/>
        <w:rPr>
          <w:rFonts w:hint="eastAsia"/>
        </w:rPr>
      </w:pPr>
      <w:r>
        <w:t>After events, readers should submit a report/checklist with notes for the official university debrief.</w:t>
      </w:r>
    </w:p>
    <w:p w14:paraId="6E5B4CFB" w14:textId="77777777" w:rsidR="00E34D36" w:rsidRDefault="00000000">
      <w:pPr>
        <w:pStyle w:val="ListBullet"/>
        <w:rPr>
          <w:rFonts w:hint="eastAsia"/>
        </w:rPr>
      </w:pPr>
      <w:r>
        <w:t>VTI needs to retrieve prior notes and summarize event history when speaking with a university.</w:t>
      </w:r>
    </w:p>
    <w:p w14:paraId="3FA526E1" w14:textId="77777777" w:rsidR="00E34D36" w:rsidRDefault="00000000">
      <w:pPr>
        <w:pStyle w:val="Heading1"/>
      </w:pPr>
      <w:r>
        <w:t>5. Representative Event Data &amp; Call Sheet Implications</w:t>
      </w:r>
    </w:p>
    <w:p w14:paraId="3DD15C95" w14:textId="47325749" w:rsidR="00E34D36" w:rsidRDefault="00000000">
      <w:pPr>
        <w:rPr>
          <w:rFonts w:hint="eastAsia"/>
        </w:rPr>
      </w:pPr>
      <w:r>
        <w:t xml:space="preserve">The supplied Call Sheet demonstrates that a single assignment contains substantially more than a simple job record: talent, event dates, venue, ceremony schedule, compensation, per diem, parking, travel, accommodation, transfer allowances, contacts, task instructions, preparation requirements, error-rate expectations, expense rules, confidentiality and legal terms. </w:t>
      </w:r>
    </w:p>
    <w:tbl>
      <w:tblPr>
        <w:tblW w:w="0" w:type="auto"/>
        <w:jc w:val="center"/>
        <w:tblLook w:val="04A0" w:firstRow="1" w:lastRow="0" w:firstColumn="1" w:lastColumn="0" w:noHBand="0" w:noVBand="1"/>
      </w:tblPr>
      <w:tblGrid>
        <w:gridCol w:w="10224"/>
      </w:tblGrid>
      <w:tr w:rsidR="00E34D36" w14:paraId="6B345073" w14:textId="77777777">
        <w:trPr>
          <w:jc w:val="center"/>
        </w:trPr>
        <w:tc>
          <w:tcPr>
            <w:tcW w:w="10224" w:type="dxa"/>
            <w:shd w:val="clear" w:color="auto" w:fill="F4F7FB"/>
          </w:tcPr>
          <w:p w14:paraId="23D9879D" w14:textId="77777777" w:rsidR="00E34D36" w:rsidRDefault="00000000">
            <w:pPr>
              <w:rPr>
                <w:rFonts w:hint="eastAsia"/>
              </w:rPr>
            </w:pPr>
            <w:r>
              <w:rPr>
                <w:b/>
                <w:color w:val="2563EB"/>
              </w:rPr>
              <w:t>Product implication</w:t>
            </w:r>
            <w:r>
              <w:rPr>
                <w:b/>
                <w:color w:val="2563EB"/>
              </w:rPr>
              <w:br/>
            </w:r>
            <w:r>
              <w:t>The platform should treat an Event Assignment as a central object that connects the university, event, reader(s), call sheet, schedule, travel, expenses, documents, communications, checklists and post-event debrief—not as a static PDF attachment.</w:t>
            </w:r>
          </w:p>
        </w:tc>
      </w:tr>
    </w:tbl>
    <w:p w14:paraId="50FF3161" w14:textId="77777777" w:rsidR="00E34D36" w:rsidRDefault="00E34D36">
      <w:pPr>
        <w:rPr>
          <w:rFonts w:hint="eastAsia"/>
        </w:rPr>
      </w:pPr>
    </w:p>
    <w:p w14:paraId="69163BC4" w14:textId="77777777" w:rsidR="00E34D36" w:rsidRDefault="00000000">
      <w:pPr>
        <w:pStyle w:val="Heading1"/>
      </w:pPr>
      <w:r>
        <w:lastRenderedPageBreak/>
        <w:t>6. Current Systems &amp; Integration Direction</w:t>
      </w:r>
    </w:p>
    <w:p w14:paraId="14FFACC4" w14:textId="77777777" w:rsidR="00E34D36" w:rsidRDefault="00000000">
      <w:pPr>
        <w:pStyle w:val="ListBullet"/>
        <w:rPr>
          <w:rFonts w:hint="eastAsia"/>
        </w:rPr>
      </w:pPr>
      <w:r>
        <w:t>Chester currently uses Wave for invoicing and Patriot Software for reader management/onboarding.</w:t>
      </w:r>
    </w:p>
    <w:p w14:paraId="2F939786" w14:textId="77777777" w:rsidR="00E34D36" w:rsidRDefault="00000000">
      <w:pPr>
        <w:pStyle w:val="ListBullet"/>
        <w:rPr>
          <w:rFonts w:hint="eastAsia"/>
        </w:rPr>
      </w:pPr>
      <w:r>
        <w:t>Two strategic paths were discussed: integrate with the current systems initially, or progressively absorb selected capabilities into the VTI platform if doing so is cost-effective.</w:t>
      </w:r>
    </w:p>
    <w:p w14:paraId="4C28AB9F" w14:textId="77777777" w:rsidR="00E34D36" w:rsidRDefault="00000000">
      <w:pPr>
        <w:pStyle w:val="ListBullet"/>
        <w:rPr>
          <w:rFonts w:hint="eastAsia"/>
        </w:rPr>
      </w:pPr>
      <w:r>
        <w:t>Integration decisions should be validated during the requirements/architecture phase before committing to custom replacements.</w:t>
      </w:r>
    </w:p>
    <w:p w14:paraId="4F4CD897" w14:textId="77777777" w:rsidR="00E34D36" w:rsidRDefault="00000000">
      <w:pPr>
        <w:pStyle w:val="ListBullet"/>
        <w:rPr>
          <w:rFonts w:hint="eastAsia"/>
        </w:rPr>
      </w:pPr>
      <w:r>
        <w:t>Payment, payroll/subcontractor, tax and compliance behavior should not be assumed; the platform should first define the source of truth and then determine what is integrated versus built.</w:t>
      </w:r>
    </w:p>
    <w:p w14:paraId="521DECED" w14:textId="77777777" w:rsidR="00E34D36" w:rsidRDefault="00000000">
      <w:pPr>
        <w:pStyle w:val="Heading1"/>
      </w:pPr>
      <w:r>
        <w:t>7. Core Product Principles</w:t>
      </w:r>
    </w:p>
    <w:p w14:paraId="6117124B" w14:textId="77777777" w:rsidR="00E34D36" w:rsidRDefault="00000000">
      <w:pPr>
        <w:pStyle w:val="ListBullet"/>
        <w:rPr>
          <w:rFonts w:hint="eastAsia"/>
        </w:rPr>
      </w:pPr>
      <w:r>
        <w:t>Admin-first visibility: Chester should always be able to see what is happening and why.</w:t>
      </w:r>
    </w:p>
    <w:p w14:paraId="4D25AB0D" w14:textId="77777777" w:rsidR="00E34D36" w:rsidRDefault="00000000">
      <w:pPr>
        <w:pStyle w:val="ListBullet"/>
        <w:rPr>
          <w:rFonts w:hint="eastAsia"/>
        </w:rPr>
      </w:pPr>
      <w:r>
        <w:t>Human control over automation: automation should recommend, notify, pre-fill or route work, while critical decisions remain reviewable.</w:t>
      </w:r>
    </w:p>
    <w:p w14:paraId="391FE977" w14:textId="77777777" w:rsidR="00E34D36" w:rsidRDefault="00000000">
      <w:pPr>
        <w:pStyle w:val="ListBullet"/>
        <w:rPr>
          <w:rFonts w:hint="eastAsia"/>
        </w:rPr>
      </w:pPr>
      <w:r>
        <w:t>One operational source of truth: reduce duplicated data across calendars, email, spreadsheets and disconnected applications.</w:t>
      </w:r>
    </w:p>
    <w:p w14:paraId="184C489C" w14:textId="77777777" w:rsidR="00E34D36" w:rsidRDefault="00000000">
      <w:pPr>
        <w:pStyle w:val="ListBullet"/>
        <w:rPr>
          <w:rFonts w:hint="eastAsia"/>
        </w:rPr>
      </w:pPr>
      <w:r>
        <w:t>Workflow over feature accumulation: every major screen should support a business process.</w:t>
      </w:r>
    </w:p>
    <w:p w14:paraId="418A3BFF" w14:textId="77777777" w:rsidR="00E34D36" w:rsidRDefault="00000000">
      <w:pPr>
        <w:pStyle w:val="ListBullet"/>
        <w:rPr>
          <w:rFonts w:hint="eastAsia"/>
        </w:rPr>
      </w:pPr>
      <w:r>
        <w:t>Reader simplicity: readers should not need to learn a complicated enterprise system.</w:t>
      </w:r>
    </w:p>
    <w:p w14:paraId="6F2C8FBC" w14:textId="77777777" w:rsidR="00E34D36" w:rsidRDefault="00000000">
      <w:pPr>
        <w:pStyle w:val="ListBullet"/>
        <w:rPr>
          <w:rFonts w:hint="eastAsia"/>
        </w:rPr>
      </w:pPr>
      <w:r>
        <w:t>Security by design: sensitive reader information and documents require controlled access, auditability and appropriate protection.</w:t>
      </w:r>
    </w:p>
    <w:p w14:paraId="1B9300EE" w14:textId="77777777" w:rsidR="00E34D36" w:rsidRDefault="00000000">
      <w:pPr>
        <w:pStyle w:val="ListBullet"/>
        <w:rPr>
          <w:rFonts w:hint="eastAsia"/>
        </w:rPr>
      </w:pPr>
      <w:r>
        <w:t>Mobile-ready operations: reader workflows should work exceptionally well on mobile; a native app can follow once the MVP workflows are proven.</w:t>
      </w:r>
    </w:p>
    <w:p w14:paraId="71977802" w14:textId="77777777" w:rsidR="00E34D36" w:rsidRDefault="00000000">
      <w:pPr>
        <w:pStyle w:val="Heading1"/>
      </w:pPr>
      <w:r>
        <w:t>8. Initial Product Capability Map</w:t>
      </w:r>
    </w:p>
    <w:tbl>
      <w:tblPr>
        <w:tblW w:w="0" w:type="auto"/>
        <w:jc w:val="center"/>
        <w:tblLook w:val="04A0" w:firstRow="1" w:lastRow="0" w:firstColumn="1" w:lastColumn="0" w:noHBand="0" w:noVBand="1"/>
      </w:tblPr>
      <w:tblGrid>
        <w:gridCol w:w="3408"/>
        <w:gridCol w:w="3408"/>
        <w:gridCol w:w="3408"/>
      </w:tblGrid>
      <w:tr w:rsidR="00E34D36" w14:paraId="58E527FA" w14:textId="77777777">
        <w:trPr>
          <w:jc w:val="center"/>
        </w:trPr>
        <w:tc>
          <w:tcPr>
            <w:tcW w:w="3408" w:type="dxa"/>
            <w:shd w:val="clear" w:color="auto" w:fill="102A43"/>
            <w:vAlign w:val="center"/>
          </w:tcPr>
          <w:p w14:paraId="5AE3E4DA" w14:textId="77777777" w:rsidR="00E34D36" w:rsidRDefault="00000000">
            <w:pPr>
              <w:rPr>
                <w:rFonts w:hint="eastAsia"/>
              </w:rPr>
            </w:pPr>
            <w:r>
              <w:rPr>
                <w:b/>
                <w:color w:val="FFFFFF"/>
                <w:sz w:val="18"/>
              </w:rPr>
              <w:t>Capability area</w:t>
            </w:r>
          </w:p>
        </w:tc>
        <w:tc>
          <w:tcPr>
            <w:tcW w:w="3408" w:type="dxa"/>
            <w:shd w:val="clear" w:color="auto" w:fill="102A43"/>
            <w:vAlign w:val="center"/>
          </w:tcPr>
          <w:p w14:paraId="73CF7069" w14:textId="77777777" w:rsidR="00E34D36" w:rsidRDefault="00000000">
            <w:pPr>
              <w:rPr>
                <w:rFonts w:hint="eastAsia"/>
              </w:rPr>
            </w:pPr>
            <w:r>
              <w:rPr>
                <w:b/>
                <w:color w:val="FFFFFF"/>
                <w:sz w:val="18"/>
              </w:rPr>
              <w:t>Initial understanding</w:t>
            </w:r>
          </w:p>
        </w:tc>
        <w:tc>
          <w:tcPr>
            <w:tcW w:w="3408" w:type="dxa"/>
            <w:shd w:val="clear" w:color="auto" w:fill="102A43"/>
            <w:vAlign w:val="center"/>
          </w:tcPr>
          <w:p w14:paraId="78185797" w14:textId="77777777" w:rsidR="00E34D36" w:rsidRDefault="00000000">
            <w:pPr>
              <w:rPr>
                <w:rFonts w:hint="eastAsia"/>
              </w:rPr>
            </w:pPr>
            <w:r>
              <w:rPr>
                <w:b/>
                <w:color w:val="FFFFFF"/>
                <w:sz w:val="18"/>
              </w:rPr>
              <w:t>Discovery priority</w:t>
            </w:r>
          </w:p>
        </w:tc>
      </w:tr>
      <w:tr w:rsidR="00E34D36" w14:paraId="72EF3941" w14:textId="77777777">
        <w:trPr>
          <w:jc w:val="center"/>
        </w:trPr>
        <w:tc>
          <w:tcPr>
            <w:tcW w:w="3408" w:type="dxa"/>
            <w:vAlign w:val="center"/>
          </w:tcPr>
          <w:p w14:paraId="6A3B7FDA" w14:textId="77777777" w:rsidR="00E34D36" w:rsidRDefault="00000000">
            <w:pPr>
              <w:rPr>
                <w:rFonts w:hint="eastAsia"/>
              </w:rPr>
            </w:pPr>
            <w:r>
              <w:rPr>
                <w:sz w:val="18"/>
              </w:rPr>
              <w:t>University CRM / Inquiry</w:t>
            </w:r>
          </w:p>
        </w:tc>
        <w:tc>
          <w:tcPr>
            <w:tcW w:w="3408" w:type="dxa"/>
            <w:vAlign w:val="center"/>
          </w:tcPr>
          <w:p w14:paraId="07A4CCD4" w14:textId="77777777" w:rsidR="00E34D36" w:rsidRDefault="00000000">
            <w:pPr>
              <w:rPr>
                <w:rFonts w:hint="eastAsia"/>
              </w:rPr>
            </w:pPr>
            <w:r>
              <w:rPr>
                <w:sz w:val="18"/>
              </w:rPr>
              <w:t>Log inquiries, notes, status, follow-up and university history</w:t>
            </w:r>
          </w:p>
        </w:tc>
        <w:tc>
          <w:tcPr>
            <w:tcW w:w="3408" w:type="dxa"/>
            <w:vAlign w:val="center"/>
          </w:tcPr>
          <w:p w14:paraId="58529371" w14:textId="77777777" w:rsidR="00E34D36" w:rsidRDefault="00000000">
            <w:pPr>
              <w:rPr>
                <w:rFonts w:hint="eastAsia"/>
              </w:rPr>
            </w:pPr>
            <w:r>
              <w:rPr>
                <w:sz w:val="18"/>
              </w:rPr>
              <w:t>Critical</w:t>
            </w:r>
          </w:p>
        </w:tc>
      </w:tr>
      <w:tr w:rsidR="00E34D36" w14:paraId="2B2EB6DB" w14:textId="77777777">
        <w:trPr>
          <w:jc w:val="center"/>
        </w:trPr>
        <w:tc>
          <w:tcPr>
            <w:tcW w:w="3408" w:type="dxa"/>
            <w:vAlign w:val="center"/>
          </w:tcPr>
          <w:p w14:paraId="5E745F55" w14:textId="77777777" w:rsidR="00E34D36" w:rsidRDefault="00000000">
            <w:pPr>
              <w:rPr>
                <w:rFonts w:hint="eastAsia"/>
              </w:rPr>
            </w:pPr>
            <w:r>
              <w:rPr>
                <w:sz w:val="18"/>
              </w:rPr>
              <w:t>Event &amp; Assignment Management</w:t>
            </w:r>
          </w:p>
        </w:tc>
        <w:tc>
          <w:tcPr>
            <w:tcW w:w="3408" w:type="dxa"/>
            <w:vAlign w:val="center"/>
          </w:tcPr>
          <w:p w14:paraId="317A2F4C" w14:textId="77777777" w:rsidR="00E34D36" w:rsidRDefault="00000000">
            <w:pPr>
              <w:rPr>
                <w:rFonts w:hint="eastAsia"/>
              </w:rPr>
            </w:pPr>
            <w:r>
              <w:rPr>
                <w:sz w:val="18"/>
              </w:rPr>
              <w:t>Create event, ceremonies, assign readers, manage schedule and logistics</w:t>
            </w:r>
          </w:p>
        </w:tc>
        <w:tc>
          <w:tcPr>
            <w:tcW w:w="3408" w:type="dxa"/>
            <w:vAlign w:val="center"/>
          </w:tcPr>
          <w:p w14:paraId="37755445" w14:textId="77777777" w:rsidR="00E34D36" w:rsidRDefault="00000000">
            <w:pPr>
              <w:rPr>
                <w:rFonts w:hint="eastAsia"/>
              </w:rPr>
            </w:pPr>
            <w:r>
              <w:rPr>
                <w:sz w:val="18"/>
              </w:rPr>
              <w:t>Critical</w:t>
            </w:r>
          </w:p>
        </w:tc>
      </w:tr>
      <w:tr w:rsidR="00E34D36" w14:paraId="299537D9" w14:textId="77777777">
        <w:trPr>
          <w:jc w:val="center"/>
        </w:trPr>
        <w:tc>
          <w:tcPr>
            <w:tcW w:w="3408" w:type="dxa"/>
            <w:vAlign w:val="center"/>
          </w:tcPr>
          <w:p w14:paraId="3A29B697" w14:textId="77777777" w:rsidR="00E34D36" w:rsidRDefault="00000000">
            <w:pPr>
              <w:rPr>
                <w:rFonts w:hint="eastAsia"/>
              </w:rPr>
            </w:pPr>
            <w:r>
              <w:rPr>
                <w:sz w:val="18"/>
              </w:rPr>
              <w:t>Reader Management</w:t>
            </w:r>
          </w:p>
        </w:tc>
        <w:tc>
          <w:tcPr>
            <w:tcW w:w="3408" w:type="dxa"/>
            <w:vAlign w:val="center"/>
          </w:tcPr>
          <w:p w14:paraId="6D4EA02F" w14:textId="77777777" w:rsidR="00E34D36" w:rsidRDefault="00000000">
            <w:pPr>
              <w:rPr>
                <w:rFonts w:hint="eastAsia"/>
              </w:rPr>
            </w:pPr>
            <w:r>
              <w:rPr>
                <w:sz w:val="18"/>
              </w:rPr>
              <w:t>Profiles, availability, onboarding status, documents, NDA, payment readiness</w:t>
            </w:r>
          </w:p>
        </w:tc>
        <w:tc>
          <w:tcPr>
            <w:tcW w:w="3408" w:type="dxa"/>
            <w:vAlign w:val="center"/>
          </w:tcPr>
          <w:p w14:paraId="7C642966" w14:textId="77777777" w:rsidR="00E34D36" w:rsidRDefault="00000000">
            <w:pPr>
              <w:rPr>
                <w:rFonts w:hint="eastAsia"/>
              </w:rPr>
            </w:pPr>
            <w:r>
              <w:rPr>
                <w:sz w:val="18"/>
              </w:rPr>
              <w:t>Critical</w:t>
            </w:r>
          </w:p>
        </w:tc>
      </w:tr>
      <w:tr w:rsidR="00E34D36" w14:paraId="05B3A005" w14:textId="77777777">
        <w:trPr>
          <w:jc w:val="center"/>
        </w:trPr>
        <w:tc>
          <w:tcPr>
            <w:tcW w:w="3408" w:type="dxa"/>
            <w:vAlign w:val="center"/>
          </w:tcPr>
          <w:p w14:paraId="5C8C5B2B" w14:textId="77777777" w:rsidR="00E34D36" w:rsidRDefault="00000000">
            <w:pPr>
              <w:rPr>
                <w:rFonts w:hint="eastAsia"/>
              </w:rPr>
            </w:pPr>
            <w:r>
              <w:rPr>
                <w:sz w:val="18"/>
              </w:rPr>
              <w:t>Call Sheet / Event Packet</w:t>
            </w:r>
          </w:p>
        </w:tc>
        <w:tc>
          <w:tcPr>
            <w:tcW w:w="3408" w:type="dxa"/>
            <w:vAlign w:val="center"/>
          </w:tcPr>
          <w:p w14:paraId="0F926A93" w14:textId="77777777" w:rsidR="00E34D36" w:rsidRDefault="00000000">
            <w:pPr>
              <w:rPr>
                <w:rFonts w:hint="eastAsia"/>
              </w:rPr>
            </w:pPr>
            <w:r>
              <w:rPr>
                <w:sz w:val="18"/>
              </w:rPr>
              <w:t>Generate and distribute event-specific operational instructions</w:t>
            </w:r>
          </w:p>
        </w:tc>
        <w:tc>
          <w:tcPr>
            <w:tcW w:w="3408" w:type="dxa"/>
            <w:vAlign w:val="center"/>
          </w:tcPr>
          <w:p w14:paraId="7F0F36BB" w14:textId="77777777" w:rsidR="00E34D36" w:rsidRDefault="00000000">
            <w:pPr>
              <w:rPr>
                <w:rFonts w:hint="eastAsia"/>
              </w:rPr>
            </w:pPr>
            <w:r>
              <w:rPr>
                <w:sz w:val="18"/>
              </w:rPr>
              <w:t>Critical</w:t>
            </w:r>
          </w:p>
        </w:tc>
      </w:tr>
      <w:tr w:rsidR="00E34D36" w14:paraId="00591EFB" w14:textId="77777777">
        <w:trPr>
          <w:jc w:val="center"/>
        </w:trPr>
        <w:tc>
          <w:tcPr>
            <w:tcW w:w="3408" w:type="dxa"/>
            <w:vAlign w:val="center"/>
          </w:tcPr>
          <w:p w14:paraId="570E8B80" w14:textId="77777777" w:rsidR="00E34D36" w:rsidRDefault="00000000">
            <w:pPr>
              <w:rPr>
                <w:rFonts w:hint="eastAsia"/>
              </w:rPr>
            </w:pPr>
            <w:r>
              <w:rPr>
                <w:sz w:val="18"/>
              </w:rPr>
              <w:t>Expenses &amp; Reimbursement</w:t>
            </w:r>
          </w:p>
        </w:tc>
        <w:tc>
          <w:tcPr>
            <w:tcW w:w="3408" w:type="dxa"/>
            <w:vAlign w:val="center"/>
          </w:tcPr>
          <w:p w14:paraId="640A835E" w14:textId="77777777" w:rsidR="00E34D36" w:rsidRDefault="00000000">
            <w:pPr>
              <w:rPr>
                <w:rFonts w:hint="eastAsia"/>
              </w:rPr>
            </w:pPr>
            <w:r>
              <w:rPr>
                <w:sz w:val="18"/>
              </w:rPr>
              <w:t>Capture receipts, submit expense reports, approve and track reimbursement</w:t>
            </w:r>
          </w:p>
        </w:tc>
        <w:tc>
          <w:tcPr>
            <w:tcW w:w="3408" w:type="dxa"/>
            <w:vAlign w:val="center"/>
          </w:tcPr>
          <w:p w14:paraId="025E8D23" w14:textId="77777777" w:rsidR="00E34D36" w:rsidRDefault="00000000">
            <w:pPr>
              <w:rPr>
                <w:rFonts w:hint="eastAsia"/>
              </w:rPr>
            </w:pPr>
            <w:r>
              <w:rPr>
                <w:sz w:val="18"/>
              </w:rPr>
              <w:t>Critical</w:t>
            </w:r>
          </w:p>
        </w:tc>
      </w:tr>
      <w:tr w:rsidR="00E34D36" w14:paraId="5DFF6202" w14:textId="77777777">
        <w:trPr>
          <w:jc w:val="center"/>
        </w:trPr>
        <w:tc>
          <w:tcPr>
            <w:tcW w:w="3408" w:type="dxa"/>
            <w:vAlign w:val="center"/>
          </w:tcPr>
          <w:p w14:paraId="76063D8D" w14:textId="77777777" w:rsidR="00E34D36" w:rsidRDefault="00000000">
            <w:pPr>
              <w:rPr>
                <w:rFonts w:hint="eastAsia"/>
              </w:rPr>
            </w:pPr>
            <w:r>
              <w:rPr>
                <w:sz w:val="18"/>
              </w:rPr>
              <w:t>Communications</w:t>
            </w:r>
          </w:p>
        </w:tc>
        <w:tc>
          <w:tcPr>
            <w:tcW w:w="3408" w:type="dxa"/>
            <w:vAlign w:val="center"/>
          </w:tcPr>
          <w:p w14:paraId="68744E2A" w14:textId="77777777" w:rsidR="00E34D36" w:rsidRDefault="00000000">
            <w:pPr>
              <w:rPr>
                <w:rFonts w:hint="eastAsia"/>
              </w:rPr>
            </w:pPr>
            <w:r>
              <w:rPr>
                <w:sz w:val="18"/>
              </w:rPr>
              <w:t>Private/group messaging and university-reader coordination</w:t>
            </w:r>
          </w:p>
        </w:tc>
        <w:tc>
          <w:tcPr>
            <w:tcW w:w="3408" w:type="dxa"/>
            <w:vAlign w:val="center"/>
          </w:tcPr>
          <w:p w14:paraId="50E78C54" w14:textId="77777777" w:rsidR="00E34D36" w:rsidRDefault="00000000">
            <w:pPr>
              <w:rPr>
                <w:rFonts w:hint="eastAsia"/>
              </w:rPr>
            </w:pPr>
            <w:r>
              <w:rPr>
                <w:sz w:val="18"/>
              </w:rPr>
              <w:t>High</w:t>
            </w:r>
          </w:p>
        </w:tc>
      </w:tr>
      <w:tr w:rsidR="00E34D36" w14:paraId="51ED63A1" w14:textId="77777777">
        <w:trPr>
          <w:jc w:val="center"/>
        </w:trPr>
        <w:tc>
          <w:tcPr>
            <w:tcW w:w="3408" w:type="dxa"/>
            <w:vAlign w:val="center"/>
          </w:tcPr>
          <w:p w14:paraId="295FCB5B" w14:textId="77777777" w:rsidR="00E34D36" w:rsidRDefault="00000000">
            <w:pPr>
              <w:rPr>
                <w:rFonts w:hint="eastAsia"/>
              </w:rPr>
            </w:pPr>
            <w:r>
              <w:rPr>
                <w:sz w:val="18"/>
              </w:rPr>
              <w:t>Billing / Payments</w:t>
            </w:r>
          </w:p>
        </w:tc>
        <w:tc>
          <w:tcPr>
            <w:tcW w:w="3408" w:type="dxa"/>
            <w:vAlign w:val="center"/>
          </w:tcPr>
          <w:p w14:paraId="5B0939B9" w14:textId="77777777" w:rsidR="00E34D36" w:rsidRDefault="00000000">
            <w:pPr>
              <w:rPr>
                <w:rFonts w:hint="eastAsia"/>
              </w:rPr>
            </w:pPr>
            <w:r>
              <w:rPr>
                <w:sz w:val="18"/>
              </w:rPr>
              <w:t>Estimates, invoices, payment status; likely integration first</w:t>
            </w:r>
          </w:p>
        </w:tc>
        <w:tc>
          <w:tcPr>
            <w:tcW w:w="3408" w:type="dxa"/>
            <w:vAlign w:val="center"/>
          </w:tcPr>
          <w:p w14:paraId="0BF85BFB" w14:textId="77777777" w:rsidR="00E34D36" w:rsidRDefault="00000000">
            <w:pPr>
              <w:rPr>
                <w:rFonts w:hint="eastAsia"/>
              </w:rPr>
            </w:pPr>
            <w:r>
              <w:rPr>
                <w:sz w:val="18"/>
              </w:rPr>
              <w:t>High</w:t>
            </w:r>
          </w:p>
        </w:tc>
      </w:tr>
      <w:tr w:rsidR="00E34D36" w14:paraId="0588FD3B" w14:textId="77777777">
        <w:trPr>
          <w:jc w:val="center"/>
        </w:trPr>
        <w:tc>
          <w:tcPr>
            <w:tcW w:w="3408" w:type="dxa"/>
            <w:vAlign w:val="center"/>
          </w:tcPr>
          <w:p w14:paraId="1B140137" w14:textId="77777777" w:rsidR="00E34D36" w:rsidRDefault="00000000">
            <w:pPr>
              <w:rPr>
                <w:rFonts w:hint="eastAsia"/>
              </w:rPr>
            </w:pPr>
            <w:r>
              <w:rPr>
                <w:sz w:val="18"/>
              </w:rPr>
              <w:t>Compliance &amp; Documents</w:t>
            </w:r>
          </w:p>
        </w:tc>
        <w:tc>
          <w:tcPr>
            <w:tcW w:w="3408" w:type="dxa"/>
            <w:vAlign w:val="center"/>
          </w:tcPr>
          <w:p w14:paraId="697F59C5" w14:textId="77777777" w:rsidR="00E34D36" w:rsidRDefault="00000000">
            <w:pPr>
              <w:rPr>
                <w:rFonts w:hint="eastAsia"/>
              </w:rPr>
            </w:pPr>
            <w:r>
              <w:rPr>
                <w:sz w:val="18"/>
              </w:rPr>
              <w:t>Insurance, agreements, sensitive data, expiration/status tracking</w:t>
            </w:r>
          </w:p>
        </w:tc>
        <w:tc>
          <w:tcPr>
            <w:tcW w:w="3408" w:type="dxa"/>
            <w:vAlign w:val="center"/>
          </w:tcPr>
          <w:p w14:paraId="55A3BCA6" w14:textId="77777777" w:rsidR="00E34D36" w:rsidRDefault="00000000">
            <w:pPr>
              <w:rPr>
                <w:rFonts w:hint="eastAsia"/>
              </w:rPr>
            </w:pPr>
            <w:r>
              <w:rPr>
                <w:sz w:val="18"/>
              </w:rPr>
              <w:t>High</w:t>
            </w:r>
          </w:p>
        </w:tc>
      </w:tr>
      <w:tr w:rsidR="00E34D36" w14:paraId="010CD8BD" w14:textId="77777777">
        <w:trPr>
          <w:jc w:val="center"/>
        </w:trPr>
        <w:tc>
          <w:tcPr>
            <w:tcW w:w="3408" w:type="dxa"/>
            <w:vAlign w:val="center"/>
          </w:tcPr>
          <w:p w14:paraId="73677A80" w14:textId="77777777" w:rsidR="00E34D36" w:rsidRDefault="00000000">
            <w:pPr>
              <w:rPr>
                <w:rFonts w:hint="eastAsia"/>
              </w:rPr>
            </w:pPr>
            <w:r>
              <w:rPr>
                <w:sz w:val="18"/>
              </w:rPr>
              <w:lastRenderedPageBreak/>
              <w:t>Reporting / Dashboard</w:t>
            </w:r>
          </w:p>
        </w:tc>
        <w:tc>
          <w:tcPr>
            <w:tcW w:w="3408" w:type="dxa"/>
            <w:vAlign w:val="center"/>
          </w:tcPr>
          <w:p w14:paraId="63D377EF" w14:textId="77777777" w:rsidR="00E34D36" w:rsidRDefault="00000000">
            <w:pPr>
              <w:rPr>
                <w:rFonts w:hint="eastAsia"/>
              </w:rPr>
            </w:pPr>
            <w:r>
              <w:rPr>
                <w:sz w:val="18"/>
              </w:rPr>
              <w:t>Operational dashboard, filters, event history, debrief summaries</w:t>
            </w:r>
          </w:p>
        </w:tc>
        <w:tc>
          <w:tcPr>
            <w:tcW w:w="3408" w:type="dxa"/>
            <w:vAlign w:val="center"/>
          </w:tcPr>
          <w:p w14:paraId="42ACFA58" w14:textId="77777777" w:rsidR="00E34D36" w:rsidRDefault="00000000">
            <w:pPr>
              <w:rPr>
                <w:rFonts w:hint="eastAsia"/>
              </w:rPr>
            </w:pPr>
            <w:r>
              <w:rPr>
                <w:sz w:val="18"/>
              </w:rPr>
              <w:t>Critical</w:t>
            </w:r>
          </w:p>
        </w:tc>
      </w:tr>
      <w:tr w:rsidR="00E34D36" w14:paraId="639959C7" w14:textId="77777777">
        <w:trPr>
          <w:jc w:val="center"/>
        </w:trPr>
        <w:tc>
          <w:tcPr>
            <w:tcW w:w="3408" w:type="dxa"/>
            <w:vAlign w:val="center"/>
          </w:tcPr>
          <w:p w14:paraId="64E38B2C" w14:textId="77777777" w:rsidR="00E34D36" w:rsidRDefault="00000000">
            <w:pPr>
              <w:rPr>
                <w:rFonts w:hint="eastAsia"/>
              </w:rPr>
            </w:pPr>
            <w:r>
              <w:rPr>
                <w:sz w:val="18"/>
              </w:rPr>
              <w:t>AI assistance</w:t>
            </w:r>
          </w:p>
        </w:tc>
        <w:tc>
          <w:tcPr>
            <w:tcW w:w="3408" w:type="dxa"/>
            <w:vAlign w:val="center"/>
          </w:tcPr>
          <w:p w14:paraId="085EFFE4" w14:textId="77777777" w:rsidR="00E34D36" w:rsidRDefault="00000000">
            <w:pPr>
              <w:rPr>
                <w:rFonts w:hint="eastAsia"/>
              </w:rPr>
            </w:pPr>
            <w:r>
              <w:rPr>
                <w:sz w:val="18"/>
              </w:rPr>
              <w:t>Summaries, reminders, document extraction, workflow recommendations—not autonomous control</w:t>
            </w:r>
          </w:p>
        </w:tc>
        <w:tc>
          <w:tcPr>
            <w:tcW w:w="3408" w:type="dxa"/>
            <w:vAlign w:val="center"/>
          </w:tcPr>
          <w:p w14:paraId="3F8B71CB" w14:textId="77777777" w:rsidR="00E34D36" w:rsidRDefault="00000000">
            <w:pPr>
              <w:rPr>
                <w:rFonts w:hint="eastAsia"/>
              </w:rPr>
            </w:pPr>
            <w:r>
              <w:rPr>
                <w:sz w:val="18"/>
              </w:rPr>
              <w:t>Later / controlled</w:t>
            </w:r>
          </w:p>
        </w:tc>
      </w:tr>
    </w:tbl>
    <w:p w14:paraId="0D1609C1" w14:textId="77777777" w:rsidR="00E34D36" w:rsidRDefault="00E34D36">
      <w:pPr>
        <w:rPr>
          <w:rFonts w:hint="eastAsia"/>
        </w:rPr>
      </w:pPr>
    </w:p>
    <w:p w14:paraId="2180D827" w14:textId="77777777" w:rsidR="00E34D36" w:rsidRDefault="00000000">
      <w:pPr>
        <w:pStyle w:val="Heading1"/>
      </w:pPr>
      <w:r>
        <w:t>9. Discovery Risks / Questions to Validate</w:t>
      </w:r>
    </w:p>
    <w:p w14:paraId="66F11BFE" w14:textId="77777777" w:rsidR="00E34D36" w:rsidRDefault="00000000">
      <w:pPr>
        <w:pStyle w:val="ListBullet"/>
        <w:rPr>
          <w:rFonts w:hint="eastAsia"/>
        </w:rPr>
      </w:pPr>
      <w:r>
        <w:t>Exact user roles and permissions beyond Chester and readers need to be defined.</w:t>
      </w:r>
    </w:p>
    <w:p w14:paraId="4ACBD895" w14:textId="77777777" w:rsidR="00E34D36" w:rsidRDefault="00000000">
      <w:pPr>
        <w:pStyle w:val="ListBullet"/>
        <w:rPr>
          <w:rFonts w:hint="eastAsia"/>
        </w:rPr>
      </w:pPr>
      <w:r>
        <w:t>University self-service requirements are not yet confirmed; current workflow suggests VTI may remain the primary operator.</w:t>
      </w:r>
    </w:p>
    <w:p w14:paraId="0940A8E5" w14:textId="77777777" w:rsidR="00E34D36" w:rsidRDefault="00000000">
      <w:pPr>
        <w:pStyle w:val="ListBullet"/>
        <w:rPr>
          <w:rFonts w:hint="eastAsia"/>
        </w:rPr>
      </w:pPr>
      <w:r>
        <w:t>Exact Wave and Patriot integration/API capabilities and licensing need technical validation before architecture is finalized.</w:t>
      </w:r>
    </w:p>
    <w:p w14:paraId="109C07BA" w14:textId="77777777" w:rsidR="00E34D36" w:rsidRDefault="00000000">
      <w:pPr>
        <w:pStyle w:val="ListBullet"/>
        <w:rPr>
          <w:rFonts w:hint="eastAsia"/>
        </w:rPr>
      </w:pPr>
      <w:r>
        <w:t>Payment model for readers/subcontractors and whether the platform should initiate payments or only track them requires confirmation.</w:t>
      </w:r>
    </w:p>
    <w:p w14:paraId="4CE11654" w14:textId="77777777" w:rsidR="00E34D36" w:rsidRDefault="00000000">
      <w:pPr>
        <w:pStyle w:val="ListBullet"/>
        <w:rPr>
          <w:rFonts w:hint="eastAsia"/>
        </w:rPr>
      </w:pPr>
      <w:r>
        <w:t>Which sensitive data is mandatory, how long it is retained, and which compliance/security obligations apply must be documented.</w:t>
      </w:r>
    </w:p>
    <w:p w14:paraId="72227159" w14:textId="77777777" w:rsidR="00E34D36" w:rsidRDefault="00000000">
      <w:pPr>
        <w:pStyle w:val="ListBullet"/>
        <w:rPr>
          <w:rFonts w:hint="eastAsia"/>
        </w:rPr>
      </w:pPr>
      <w:r>
        <w:t>Native mobile scope should be validated against actual reader workflows; responsive web may be the fastest MVP path.</w:t>
      </w:r>
    </w:p>
    <w:p w14:paraId="2E63658F" w14:textId="77777777" w:rsidR="00E34D36" w:rsidRDefault="00000000">
      <w:pPr>
        <w:pStyle w:val="ListBullet"/>
        <w:rPr>
          <w:rFonts w:hint="eastAsia"/>
        </w:rPr>
      </w:pPr>
      <w:r>
        <w:t>Reporting requirements need examples: operational dashboard, event debrief, financial status, reader status and university history.</w:t>
      </w:r>
    </w:p>
    <w:p w14:paraId="363BED1A" w14:textId="77777777" w:rsidR="00E34D36" w:rsidRDefault="00000000">
      <w:pPr>
        <w:pStyle w:val="ListBullet"/>
        <w:rPr>
          <w:rFonts w:hint="eastAsia"/>
        </w:rPr>
      </w:pPr>
      <w:r>
        <w:t>AI should be introduced selectively because Chester explicitly wants control, flexibility and transparency.</w:t>
      </w:r>
    </w:p>
    <w:p w14:paraId="3403C33B" w14:textId="77777777" w:rsidR="00E34D36" w:rsidRDefault="00000000">
      <w:pPr>
        <w:pStyle w:val="Heading1"/>
      </w:pPr>
      <w:r>
        <w:t>10. Recommended Discovery-to-Build Sequence</w:t>
      </w:r>
    </w:p>
    <w:p w14:paraId="0F657E89" w14:textId="77777777" w:rsidR="00E34D36" w:rsidRDefault="00000000">
      <w:pPr>
        <w:pStyle w:val="ListBullet"/>
        <w:rPr>
          <w:rFonts w:hint="eastAsia"/>
        </w:rPr>
      </w:pPr>
      <w:r>
        <w:t>Milestone 1 — Discovery Summary (this document).</w:t>
      </w:r>
    </w:p>
    <w:p w14:paraId="43B407EA" w14:textId="77777777" w:rsidR="00E34D36" w:rsidRDefault="00000000">
      <w:pPr>
        <w:pStyle w:val="ListBullet"/>
        <w:rPr>
          <w:rFonts w:hint="eastAsia"/>
        </w:rPr>
      </w:pPr>
      <w:r>
        <w:t>Milestone 2 — Business Requirements Document: convert discovery into testable requirements and acceptance criteria.</w:t>
      </w:r>
    </w:p>
    <w:p w14:paraId="6CA0740C" w14:textId="77777777" w:rsidR="00E34D36" w:rsidRDefault="00000000">
      <w:pPr>
        <w:pStyle w:val="ListBullet"/>
        <w:rPr>
          <w:rFonts w:hint="eastAsia"/>
        </w:rPr>
      </w:pPr>
      <w:r>
        <w:t>Milestone 3 — Workflow Maps: map University, Reader, Event, Expense, Billing and Debrief lifecycles.</w:t>
      </w:r>
    </w:p>
    <w:p w14:paraId="6290DA9B" w14:textId="77777777" w:rsidR="00E34D36" w:rsidRDefault="00000000">
      <w:pPr>
        <w:pStyle w:val="ListBullet"/>
        <w:rPr>
          <w:rFonts w:hint="eastAsia"/>
        </w:rPr>
      </w:pPr>
      <w:r>
        <w:t>Milestone 4 — User Journeys: document critical journeys and friction points.</w:t>
      </w:r>
    </w:p>
    <w:p w14:paraId="6A1F5C06" w14:textId="77777777" w:rsidR="00E34D36" w:rsidRDefault="00000000">
      <w:pPr>
        <w:pStyle w:val="ListBullet"/>
        <w:rPr>
          <w:rFonts w:hint="eastAsia"/>
        </w:rPr>
      </w:pPr>
      <w:r>
        <w:t>Milestone 5 — Platform Architecture: define data model, services, integrations, security and deployment.</w:t>
      </w:r>
    </w:p>
    <w:p w14:paraId="501A4BB6" w14:textId="77777777" w:rsidR="00E34D36" w:rsidRDefault="00000000">
      <w:pPr>
        <w:pStyle w:val="ListBullet"/>
        <w:rPr>
          <w:rFonts w:hint="eastAsia"/>
        </w:rPr>
      </w:pPr>
      <w:r>
        <w:t>Milestone 6 — Wireframes: design the core admin and reader experiences.</w:t>
      </w:r>
    </w:p>
    <w:p w14:paraId="1BD776C9" w14:textId="77777777" w:rsidR="00E34D36" w:rsidRDefault="00000000">
      <w:pPr>
        <w:pStyle w:val="ListBullet"/>
        <w:rPr>
          <w:rFonts w:hint="eastAsia"/>
        </w:rPr>
      </w:pPr>
      <w:r>
        <w:t>Milestone 7 — Interactive Figma Concepts: create a polished clickable prototype.</w:t>
      </w:r>
    </w:p>
    <w:p w14:paraId="33F4C58D" w14:textId="77777777" w:rsidR="00E34D36" w:rsidRDefault="00000000">
      <w:pPr>
        <w:pStyle w:val="ListBullet"/>
        <w:rPr>
          <w:rFonts w:hint="eastAsia"/>
        </w:rPr>
      </w:pPr>
      <w:r>
        <w:t>Milestone 8 — MVP Definition: lock launch scope, exclusions and acceptance criteria.</w:t>
      </w:r>
    </w:p>
    <w:p w14:paraId="504B8578" w14:textId="77777777" w:rsidR="00E34D36" w:rsidRDefault="00000000">
      <w:pPr>
        <w:pStyle w:val="ListBullet"/>
        <w:rPr>
          <w:rFonts w:hint="eastAsia"/>
        </w:rPr>
      </w:pPr>
      <w:r>
        <w:t>Milestone 9 — Product Roadmap: sequence MVP, post-MVP and mobile capabilities.</w:t>
      </w:r>
    </w:p>
    <w:p w14:paraId="7C4C1EDD" w14:textId="77777777" w:rsidR="00E34D36" w:rsidRDefault="00000000">
      <w:pPr>
        <w:pStyle w:val="ListBullet"/>
        <w:rPr>
          <w:rFonts w:hint="eastAsia"/>
        </w:rPr>
      </w:pPr>
      <w:r>
        <w:t>Milestone 10 — Development Recommendations: delivery team, stack, environments, QA, security, AI and release strategy.</w:t>
      </w:r>
    </w:p>
    <w:p w14:paraId="0F48EF10" w14:textId="77777777" w:rsidR="00E34D36" w:rsidRDefault="00000000">
      <w:pPr>
        <w:pStyle w:val="Heading1"/>
      </w:pPr>
      <w:r>
        <w:t>11. Source Basis</w:t>
      </w:r>
    </w:p>
    <w:p w14:paraId="7C07E624" w14:textId="2A7DBB7B" w:rsidR="00E34D36" w:rsidRDefault="00000000">
      <w:pPr>
        <w:rPr>
          <w:rFonts w:hint="eastAsia"/>
        </w:rPr>
      </w:pPr>
      <w:r>
        <w:t xml:space="preserve">This summary is based on Chester’s kickoff recap supplied in the project discussion, the VTI workflow document, and the representative Call Sheet. The workflow document explicitly separates University and Reader workflows and states the desired outcome as a streamlined process with a 360°/35,000-foot backend view. The same document also records Chester’s concern about loss of control and his desire for flexibility when automation is introduced. </w:t>
      </w:r>
    </w:p>
    <w:p w14:paraId="5614EF29" w14:textId="77777777" w:rsidR="00E34D36" w:rsidRDefault="00000000">
      <w:pPr>
        <w:rPr>
          <w:rFonts w:hint="eastAsia"/>
        </w:rPr>
      </w:pPr>
      <w:r>
        <w:lastRenderedPageBreak/>
        <w:t>Prepared for discussion and validation. Items marked as assumptions or questions should be confirmed before being treated as committed scope.</w:t>
      </w:r>
    </w:p>
    <w:p w14:paraId="7C27C9F0" w14:textId="77777777" w:rsidR="00E34D36" w:rsidRDefault="00000000">
      <w:pPr>
        <w:rPr>
          <w:rFonts w:hint="eastAsia"/>
        </w:rPr>
      </w:pPr>
      <w:r>
        <w:br w:type="page"/>
      </w:r>
    </w:p>
    <w:p w14:paraId="1D7AF86C" w14:textId="77777777" w:rsidR="00E34D36" w:rsidRDefault="00000000">
      <w:pPr>
        <w:rPr>
          <w:rFonts w:hint="eastAsia"/>
        </w:rPr>
      </w:pPr>
      <w:r>
        <w:rPr>
          <w:b/>
          <w:color w:val="102A43"/>
          <w:sz w:val="36"/>
        </w:rPr>
        <w:lastRenderedPageBreak/>
        <w:t>Discovery Summary — Final Transcript Validation Addendum</w:t>
      </w:r>
    </w:p>
    <w:p w14:paraId="11990102" w14:textId="77777777" w:rsidR="00E34D36" w:rsidRDefault="00000000">
      <w:pPr>
        <w:rPr>
          <w:rFonts w:hint="eastAsia"/>
        </w:rPr>
      </w:pPr>
      <w:r>
        <w:t>The Zoom transcript was reviewed against the existing Discovery Summary. The original discovery direction is correct; no major restructuring is required. The following points should be incorporated into the final baseline before Milestone 2.</w:t>
      </w:r>
    </w:p>
    <w:p w14:paraId="35C85EED" w14:textId="77777777" w:rsidR="00E34D36" w:rsidRDefault="00000000">
      <w:pPr>
        <w:rPr>
          <w:rFonts w:hint="eastAsia"/>
        </w:rPr>
      </w:pPr>
      <w:r>
        <w:rPr>
          <w:b/>
          <w:color w:val="2563EB"/>
          <w:sz w:val="24"/>
        </w:rPr>
        <w:t>Confirmed product structure</w:t>
      </w:r>
    </w:p>
    <w:p w14:paraId="62EE8296" w14:textId="77777777" w:rsidR="00E34D36" w:rsidRDefault="00000000">
      <w:pPr>
        <w:pStyle w:val="ListBullet"/>
        <w:rPr>
          <w:rFonts w:hint="eastAsia"/>
        </w:rPr>
      </w:pPr>
      <w:r>
        <w:t>The platform should be understood as three connected operational areas: University workflow, Reader workflow, and a combined administrative/conglomerate dashboard.</w:t>
      </w:r>
    </w:p>
    <w:p w14:paraId="7314A22F" w14:textId="77777777" w:rsidR="00E34D36" w:rsidRDefault="00000000">
      <w:pPr>
        <w:pStyle w:val="ListBullet"/>
        <w:rPr>
          <w:rFonts w:hint="eastAsia"/>
        </w:rPr>
      </w:pPr>
      <w:r>
        <w:t>The admin side is currently primarily Chester; additional sub-admin/super-admin roles should remain a future permissions design decision rather than an assumed current requirement.</w:t>
      </w:r>
    </w:p>
    <w:p w14:paraId="799EE247" w14:textId="77777777" w:rsidR="00E34D36" w:rsidRDefault="00000000">
      <w:pPr>
        <w:rPr>
          <w:rFonts w:hint="eastAsia"/>
        </w:rPr>
      </w:pPr>
      <w:r>
        <w:rPr>
          <w:b/>
          <w:color w:val="2563EB"/>
          <w:sz w:val="24"/>
        </w:rPr>
        <w:t>Important workflow refinements</w:t>
      </w:r>
    </w:p>
    <w:p w14:paraId="5F5BABB6" w14:textId="77777777" w:rsidR="00E34D36" w:rsidRDefault="00000000">
      <w:pPr>
        <w:pStyle w:val="ListBullet"/>
        <w:rPr>
          <w:rFonts w:hint="eastAsia"/>
        </w:rPr>
      </w:pPr>
      <w:r>
        <w:t>Chester prefers a purpose-built operational calendar because Google Calendar does not fully support the way he manually manages and visually adjusts scheduling.</w:t>
      </w:r>
    </w:p>
    <w:p w14:paraId="5AD750F0" w14:textId="77777777" w:rsidR="00E34D36" w:rsidRDefault="00000000">
      <w:pPr>
        <w:pStyle w:val="ListBullet"/>
        <w:rPr>
          <w:rFonts w:hint="eastAsia"/>
        </w:rPr>
      </w:pPr>
      <w:r>
        <w:t>Email integration may be useful for logging university inquiries and communications, but Chester did not define it as a must-have requirement.</w:t>
      </w:r>
    </w:p>
    <w:p w14:paraId="1148EFA4" w14:textId="77777777" w:rsidR="00E34D36" w:rsidRDefault="00000000">
      <w:pPr>
        <w:pStyle w:val="ListBullet"/>
        <w:rPr>
          <w:rFonts w:hint="eastAsia"/>
        </w:rPr>
      </w:pPr>
      <w:r>
        <w:t>In-app messaging is desirable, but Chester explicitly stated it is not critical if the cost is prohibitive; therefore classify it as a SHOULD-HAVE / later MVP candidate until validated.</w:t>
      </w:r>
    </w:p>
    <w:p w14:paraId="361E21FF" w14:textId="77777777" w:rsidR="00E34D36" w:rsidRDefault="00000000">
      <w:pPr>
        <w:pStyle w:val="ListBullet"/>
        <w:rPr>
          <w:rFonts w:hint="eastAsia"/>
        </w:rPr>
      </w:pPr>
      <w:r>
        <w:t>Reader location/status tracking should be investigated as part of assignment and event logistics rather than assumed to mean continuous GPS tracking.</w:t>
      </w:r>
    </w:p>
    <w:p w14:paraId="3D0B0F0D" w14:textId="77777777" w:rsidR="00E34D36" w:rsidRDefault="00000000">
      <w:pPr>
        <w:pStyle w:val="ListBullet"/>
        <w:rPr>
          <w:rFonts w:hint="eastAsia"/>
        </w:rPr>
      </w:pPr>
      <w:r>
        <w:t>Insurance/compliance should support rapid generation/verification of required information and may eventually connect to policy records, but the exact insurance workflow remains to be defined.</w:t>
      </w:r>
    </w:p>
    <w:p w14:paraId="6C4D3046" w14:textId="77777777" w:rsidR="00E34D36" w:rsidRDefault="00000000">
      <w:pPr>
        <w:rPr>
          <w:rFonts w:hint="eastAsia"/>
        </w:rPr>
      </w:pPr>
      <w:r>
        <w:rPr>
          <w:b/>
          <w:color w:val="2563EB"/>
          <w:sz w:val="24"/>
        </w:rPr>
        <w:t>Security and data</w:t>
      </w:r>
    </w:p>
    <w:p w14:paraId="6841E35D" w14:textId="77777777" w:rsidR="00E34D36" w:rsidRDefault="00000000">
      <w:pPr>
        <w:pStyle w:val="ListBullet"/>
        <w:rPr>
          <w:rFonts w:hint="eastAsia"/>
        </w:rPr>
      </w:pPr>
      <w:r>
        <w:t>Sensitive reader data explicitly discussed includes Social Security numbers and copies of driver's licenses. This elevates secure document storage, access control, encryption, retention and auditability to core architecture concerns.</w:t>
      </w:r>
    </w:p>
    <w:p w14:paraId="42BC6364" w14:textId="77777777" w:rsidR="00E34D36" w:rsidRDefault="00000000">
      <w:pPr>
        <w:pStyle w:val="ListBullet"/>
        <w:rPr>
          <w:rFonts w:hint="eastAsia"/>
        </w:rPr>
      </w:pPr>
      <w:r>
        <w:t>The platform should minimize exposure of sensitive information and should not reproduce sensitive data unnecessarily across screens, exports or notifications.</w:t>
      </w:r>
    </w:p>
    <w:p w14:paraId="503DCFCA" w14:textId="77777777" w:rsidR="00E34D36" w:rsidRDefault="00000000">
      <w:pPr>
        <w:rPr>
          <w:rFonts w:hint="eastAsia"/>
        </w:rPr>
      </w:pPr>
      <w:r>
        <w:rPr>
          <w:b/>
          <w:color w:val="2563EB"/>
          <w:sz w:val="24"/>
        </w:rPr>
        <w:t>Timeline clarification</w:t>
      </w:r>
    </w:p>
    <w:p w14:paraId="6E5957C4" w14:textId="77777777" w:rsidR="00E34D36" w:rsidRDefault="00000000">
      <w:pPr>
        <w:pStyle w:val="ListBullet"/>
        <w:rPr>
          <w:rFonts w:hint="eastAsia"/>
        </w:rPr>
      </w:pPr>
      <w:r>
        <w:t>Chester expressed a desired outcome around February/March, but explicitly said he was not yet defining whether that meant wireframes, MVP, or another milestone.</w:t>
      </w:r>
    </w:p>
    <w:p w14:paraId="7488DCCE" w14:textId="77777777" w:rsidR="00E34D36" w:rsidRDefault="00000000">
      <w:pPr>
        <w:pStyle w:val="ListBullet"/>
        <w:rPr>
          <w:rFonts w:hint="eastAsia"/>
        </w:rPr>
      </w:pPr>
      <w:r>
        <w:t>The transcript confirms that the next 1.5–2 weeks are critical for defining the initial MVP, integrations, payment model and technical direction. Therefore the blueprint should remain the immediate priority.</w:t>
      </w:r>
    </w:p>
    <w:p w14:paraId="418BCC89" w14:textId="77777777" w:rsidR="00E34D36" w:rsidRDefault="00000000">
      <w:pPr>
        <w:rPr>
          <w:rFonts w:hint="eastAsia"/>
        </w:rPr>
      </w:pPr>
      <w:r>
        <w:rPr>
          <w:b/>
          <w:color w:val="2563EB"/>
          <w:sz w:val="24"/>
        </w:rPr>
        <w:t>Product philosophy</w:t>
      </w:r>
    </w:p>
    <w:p w14:paraId="2B328DCB" w14:textId="77777777" w:rsidR="00E34D36" w:rsidRDefault="00000000">
      <w:pPr>
        <w:pStyle w:val="ListBullet"/>
        <w:rPr>
          <w:rFonts w:hint="eastAsia"/>
        </w:rPr>
      </w:pPr>
      <w:r>
        <w:t>Chester's strongest concern is loss of control. The product should therefore emphasize visibility, editable workflows, approval points, audit trails and transparent automation.</w:t>
      </w:r>
    </w:p>
    <w:p w14:paraId="4D767F69" w14:textId="77777777" w:rsidR="00E34D36" w:rsidRDefault="00000000">
      <w:pPr>
        <w:pStyle w:val="ListBullet"/>
        <w:rPr>
          <w:rFonts w:hint="eastAsia"/>
        </w:rPr>
      </w:pPr>
      <w:r>
        <w:t>The platform should streamline the business without forcing Chester to surrender operational judgment to AI.</w:t>
      </w:r>
    </w:p>
    <w:sectPr w:rsidR="00E34D3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066095">
    <w:abstractNumId w:val="8"/>
  </w:num>
  <w:num w:numId="2" w16cid:durableId="1086341627">
    <w:abstractNumId w:val="6"/>
  </w:num>
  <w:num w:numId="3" w16cid:durableId="874928311">
    <w:abstractNumId w:val="5"/>
  </w:num>
  <w:num w:numId="4" w16cid:durableId="1554200062">
    <w:abstractNumId w:val="4"/>
  </w:num>
  <w:num w:numId="5" w16cid:durableId="1695185436">
    <w:abstractNumId w:val="7"/>
  </w:num>
  <w:num w:numId="6" w16cid:durableId="11998092">
    <w:abstractNumId w:val="3"/>
  </w:num>
  <w:num w:numId="7" w16cid:durableId="1828860009">
    <w:abstractNumId w:val="2"/>
  </w:num>
  <w:num w:numId="8" w16cid:durableId="522474392">
    <w:abstractNumId w:val="1"/>
  </w:num>
  <w:num w:numId="9" w16cid:durableId="139543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1BA"/>
    <w:rsid w:val="0015074B"/>
    <w:rsid w:val="0029639D"/>
    <w:rsid w:val="0030651C"/>
    <w:rsid w:val="00326F90"/>
    <w:rsid w:val="004C4A83"/>
    <w:rsid w:val="00AA1D8D"/>
    <w:rsid w:val="00B47730"/>
    <w:rsid w:val="00CB0664"/>
    <w:rsid w:val="00E34D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94239"/>
  <w14:defaultImageDpi w14:val="330"/>
  <w15:docId w15:val="{DB517F6E-6567-441A-8335-E72C57C6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1824</Words>
  <Characters>10401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Slobodyan</cp:lastModifiedBy>
  <cp:revision>2</cp:revision>
  <dcterms:created xsi:type="dcterms:W3CDTF">2013-12-23T23:15:00Z</dcterms:created>
  <dcterms:modified xsi:type="dcterms:W3CDTF">2026-08-23T21:11:00Z</dcterms:modified>
  <cp:category/>
</cp:coreProperties>
</file>