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98E5" w14:textId="77777777" w:rsidR="008B17B5" w:rsidRDefault="00000000">
      <w:pPr>
        <w:jc w:val="center"/>
      </w:pPr>
      <w:r>
        <w:rPr>
          <w:b/>
          <w:color w:val="555555"/>
        </w:rPr>
        <w:t>PROJECT CHARTER</w:t>
      </w:r>
    </w:p>
    <w:p w14:paraId="09615180" w14:textId="77777777" w:rsidR="008B17B5" w:rsidRDefault="00000000">
      <w:pPr>
        <w:spacing w:after="40"/>
        <w:jc w:val="center"/>
      </w:pPr>
      <w:r>
        <w:rPr>
          <w:b/>
          <w:color w:val="1F3A68"/>
          <w:sz w:val="44"/>
        </w:rPr>
        <w:t>Kikoff Marketing Mix Model — MSBA Capstone</w:t>
      </w:r>
    </w:p>
    <w:p w14:paraId="758059D6" w14:textId="77777777" w:rsidR="008B17B5" w:rsidRDefault="00000000">
      <w:pPr>
        <w:spacing w:after="360"/>
        <w:jc w:val="center"/>
      </w:pPr>
      <w:r>
        <w:rPr>
          <w:i/>
          <w:color w:val="555555"/>
          <w:sz w:val="24"/>
        </w:rPr>
        <w:t>Bayesian Channel Attribution &amp; Budget Decisioning Framework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8B17B5" w14:paraId="0DAC63C2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8036BBD" w14:textId="77777777" w:rsidR="008B17B5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6491B63" w14:textId="77777777" w:rsidR="008B17B5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B17B5" w14:paraId="62C98C6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7BC532" w14:textId="77777777" w:rsidR="008B17B5" w:rsidRDefault="00000000">
            <w:r>
              <w:rPr>
                <w:b/>
                <w:sz w:val="20"/>
              </w:rPr>
              <w:t>Client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48E017" w14:textId="77777777" w:rsidR="008B17B5" w:rsidRDefault="00000000">
            <w:r>
              <w:rPr>
                <w:sz w:val="20"/>
              </w:rPr>
              <w:t>Kikoff (San Francisco, CA)</w:t>
            </w:r>
          </w:p>
        </w:tc>
      </w:tr>
      <w:tr w:rsidR="008B17B5" w14:paraId="2175D29B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91D02AB" w14:textId="77777777" w:rsidR="008B17B5" w:rsidRDefault="00000000">
            <w:r>
              <w:rPr>
                <w:b/>
                <w:sz w:val="20"/>
              </w:rPr>
              <w:t>Program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8FC487E" w14:textId="77777777" w:rsidR="008B17B5" w:rsidRDefault="00000000">
            <w:r>
              <w:rPr>
                <w:sz w:val="20"/>
              </w:rPr>
              <w:t>UC San Diego, Rady School of Management — MSBA Capstone, Spring 2026</w:t>
            </w:r>
          </w:p>
        </w:tc>
      </w:tr>
      <w:tr w:rsidR="008B17B5" w14:paraId="210937A4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1D4D10" w14:textId="77777777" w:rsidR="008B17B5" w:rsidRDefault="00000000">
            <w:r>
              <w:rPr>
                <w:b/>
                <w:sz w:val="20"/>
              </w:rPr>
              <w:t>Document Date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2246F7" w14:textId="77777777" w:rsidR="008B17B5" w:rsidRDefault="00000000">
            <w:r>
              <w:rPr>
                <w:sz w:val="20"/>
              </w:rPr>
              <w:t>May 16, 2026</w:t>
            </w:r>
          </w:p>
        </w:tc>
      </w:tr>
      <w:tr w:rsidR="008B17B5" w14:paraId="72706F9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79A8541C" w14:textId="77777777" w:rsidR="008B17B5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49AFA597" w14:textId="77777777" w:rsidR="008B17B5" w:rsidRDefault="00000000">
            <w:r>
              <w:rPr>
                <w:sz w:val="20"/>
              </w:rPr>
              <w:t>1.0</w:t>
            </w:r>
          </w:p>
        </w:tc>
      </w:tr>
      <w:tr w:rsidR="008B17B5" w14:paraId="2DB8B09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75D69C" w14:textId="77777777" w:rsidR="008B17B5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B707F2" w14:textId="77777777" w:rsidR="008B17B5" w:rsidRDefault="00000000">
            <w:r>
              <w:rPr>
                <w:sz w:val="20"/>
              </w:rPr>
              <w:t>Active — Phase 2 (Model Build) in progress</w:t>
            </w:r>
          </w:p>
        </w:tc>
      </w:tr>
    </w:tbl>
    <w:p w14:paraId="215C9835" w14:textId="77777777" w:rsidR="008B17B5" w:rsidRDefault="008B17B5"/>
    <w:p w14:paraId="7847F7ED" w14:textId="77777777" w:rsidR="008B17B5" w:rsidRDefault="00000000">
      <w:pPr>
        <w:pStyle w:val="Heading1"/>
      </w:pPr>
      <w:r>
        <w:rPr>
          <w:color w:val="1F3A68"/>
        </w:rPr>
        <w:t>1. Executive Summary</w:t>
      </w:r>
    </w:p>
    <w:p w14:paraId="7BFF34A8" w14:textId="77777777" w:rsidR="008B17B5" w:rsidRDefault="00000000">
      <w:r>
        <w:t>Our team is building a Bayesian Marketing Mix Model (MMM) for Kikoff to quantify the incremental impact of each marketing channel on customer acquisition and three-year customer lifetime value. Kikoff invests on the order of one hundred million dollars annually across more than a dozen paid channels, but its current measurement stack relies heavily on last-touch attribution and platform-reported metrics, which obscure true incremental contribution and saturation. We are delivering two parallel Bayesian models — one for weekly conversions and one for weekly three-year LTV — calibrated with Kikoff's own incrementality experiments, together with a channel-level decisioning framework that supports defensible budget reallocation across seasonal windows.</w:t>
      </w:r>
    </w:p>
    <w:p w14:paraId="08941116" w14:textId="77777777" w:rsidR="008B17B5" w:rsidRDefault="00000000">
      <w:pPr>
        <w:pStyle w:val="Heading1"/>
      </w:pPr>
      <w:r>
        <w:rPr>
          <w:color w:val="1F3A68"/>
        </w:rPr>
        <w:t>2. Business Context &amp; Problem Statement</w:t>
      </w:r>
    </w:p>
    <w:p w14:paraId="33603CCE" w14:textId="77777777" w:rsidR="008B17B5" w:rsidRDefault="00000000">
      <w:r>
        <w:t>Kikoff's marketing spend has scaled materially while measurement maturity has not kept pace. The team faces four structural problems:</w:t>
      </w:r>
    </w:p>
    <w:p w14:paraId="0E096D13" w14:textId="77777777" w:rsidR="008B17B5" w:rsidRDefault="00000000">
      <w:pPr>
        <w:pStyle w:val="ListBullet"/>
        <w:spacing w:after="40"/>
      </w:pPr>
      <w:r>
        <w:t>Last-touch attribution and platform reporting cannot separate true incremental lift from baseline organic demand.</w:t>
      </w:r>
    </w:p>
    <w:p w14:paraId="1AAA3B42" w14:textId="77777777" w:rsidR="008B17B5" w:rsidRDefault="00000000">
      <w:pPr>
        <w:pStyle w:val="ListBullet"/>
        <w:spacing w:after="40"/>
      </w:pPr>
      <w:r>
        <w:t>There is no continuous, cross-channel view of diminishing returns or saturation across the current spend portfolio.</w:t>
      </w:r>
    </w:p>
    <w:p w14:paraId="0FB02626" w14:textId="77777777" w:rsidR="008B17B5" w:rsidRDefault="00000000">
      <w:pPr>
        <w:pStyle w:val="ListBullet"/>
        <w:spacing w:after="40"/>
      </w:pPr>
      <w:r>
        <w:t>Budget reallocation scenarios cannot be simulated with statistical confidence, making leadership decisions difficult to defend with rigor.</w:t>
      </w:r>
    </w:p>
    <w:p w14:paraId="73B44B1B" w14:textId="77777777" w:rsidR="008B17B5" w:rsidRDefault="00000000">
      <w:pPr>
        <w:pStyle w:val="ListBullet"/>
        <w:spacing w:after="40"/>
      </w:pPr>
      <w:r>
        <w:t>Seasonality (e.g., tax season, holidays) is well understood directionally but not quantified inside a single decisioning framework.</w:t>
      </w:r>
    </w:p>
    <w:p w14:paraId="66B239B3" w14:textId="77777777" w:rsidR="008B17B5" w:rsidRDefault="00000000">
      <w:r>
        <w:t>Our model is intended to become one of three triangulated signals Kikoff uses to make channel-level investment decisions, alongside Kikoff's internal MMM and the Northbeam MMM+ platform.</w:t>
      </w:r>
    </w:p>
    <w:p w14:paraId="5E5C81A2" w14:textId="77777777" w:rsidR="008B17B5" w:rsidRDefault="00000000">
      <w:pPr>
        <w:pStyle w:val="Heading1"/>
      </w:pPr>
      <w:r>
        <w:rPr>
          <w:color w:val="1F3A68"/>
        </w:rPr>
        <w:lastRenderedPageBreak/>
        <w:t>3. Project Objectives</w:t>
      </w:r>
    </w:p>
    <w:p w14:paraId="1DE61C7D" w14:textId="77777777" w:rsidR="008B17B5" w:rsidRDefault="00000000">
      <w:pPr>
        <w:pStyle w:val="ListNumber"/>
        <w:spacing w:after="40"/>
      </w:pPr>
      <w:r>
        <w:t>Estimate the incremental Cost of Acquisition (iCAC) and incremental Return on Ad Spend (iROAS) for every paid channel, with posterior credible intervals reflecting genuine uncertainty.</w:t>
      </w:r>
    </w:p>
    <w:p w14:paraId="1FDFABD2" w14:textId="77777777" w:rsidR="008B17B5" w:rsidRDefault="00000000">
      <w:pPr>
        <w:pStyle w:val="ListNumber"/>
        <w:spacing w:after="40"/>
      </w:pPr>
      <w:r>
        <w:t>Recover channel-level saturation curves and identify under-invested versus over-saturated channels at current spend levels.</w:t>
      </w:r>
    </w:p>
    <w:p w14:paraId="62CF6AE8" w14:textId="77777777" w:rsidR="008B17B5" w:rsidRDefault="00000000">
      <w:pPr>
        <w:pStyle w:val="ListNumber"/>
        <w:spacing w:after="40"/>
      </w:pPr>
      <w:r>
        <w:t>Produce a decisioning framework (one row per channel) that translates model output into specific, testable budget moves for Kikoff's growth team.</w:t>
      </w:r>
    </w:p>
    <w:p w14:paraId="4A453B65" w14:textId="6B16B512" w:rsidR="008B17B5" w:rsidRDefault="00000000">
      <w:pPr>
        <w:pStyle w:val="ListNumber"/>
        <w:spacing w:after="40"/>
      </w:pPr>
      <w:r>
        <w:t>Develop seasonal budget allocation scenarios for three distinct windows: tax season (March–April), holiday</w:t>
      </w:r>
      <w:r w:rsidR="00F672E5">
        <w:t xml:space="preserve">, </w:t>
      </w:r>
      <w:r>
        <w:t>and steady state.</w:t>
      </w:r>
    </w:p>
    <w:p w14:paraId="5D0467DC" w14:textId="77777777" w:rsidR="008B17B5" w:rsidRDefault="00000000">
      <w:pPr>
        <w:pStyle w:val="ListNumber"/>
        <w:spacing w:after="40"/>
      </w:pPr>
      <w:r>
        <w:t>Deliver a transparent, reproducible codebase that Kikoff can refresh quarterly without our team's involvement.</w:t>
      </w:r>
    </w:p>
    <w:p w14:paraId="0D11386B" w14:textId="77777777" w:rsidR="008B17B5" w:rsidRDefault="00000000">
      <w:pPr>
        <w:pStyle w:val="Heading1"/>
      </w:pPr>
      <w:r>
        <w:rPr>
          <w:color w:val="1F3A68"/>
        </w:rPr>
        <w:t>4. Scope</w:t>
      </w:r>
    </w:p>
    <w:p w14:paraId="68AE1E03" w14:textId="77777777" w:rsidR="008B17B5" w:rsidRDefault="00000000">
      <w:pPr>
        <w:pStyle w:val="Heading2"/>
      </w:pPr>
      <w:r>
        <w:rPr>
          <w:color w:val="1F3A68"/>
        </w:rPr>
        <w:t>In Scope</w:t>
      </w:r>
    </w:p>
    <w:p w14:paraId="7AC23B51" w14:textId="77777777" w:rsidR="008B17B5" w:rsidRDefault="00000000">
      <w:pPr>
        <w:pStyle w:val="ListBullet"/>
        <w:spacing w:after="40"/>
      </w:pPr>
      <w:r>
        <w:t>Two Bayesian Marketing Mix Models built in PyMC-Marketing: Model 1 (weekly conversions) and Model 2 (weekly three-year LTV).</w:t>
      </w:r>
    </w:p>
    <w:p w14:paraId="086A97A7" w14:textId="77777777" w:rsidR="008B17B5" w:rsidRDefault="00000000">
      <w:pPr>
        <w:pStyle w:val="ListBullet"/>
        <w:spacing w:after="40"/>
      </w:pPr>
      <w:r>
        <w:t>All 19 channel × platform segments simultaneously included to avoid omitted-variable bias.</w:t>
      </w:r>
    </w:p>
    <w:p w14:paraId="7C48937E" w14:textId="77777777" w:rsidR="008B17B5" w:rsidRDefault="00000000">
      <w:pPr>
        <w:pStyle w:val="ListBullet"/>
        <w:spacing w:after="40"/>
      </w:pPr>
      <w:r>
        <w:t>Geometric adstock and logistic saturation transformations.</w:t>
      </w:r>
    </w:p>
    <w:p w14:paraId="074F40F6" w14:textId="77777777" w:rsidR="008B17B5" w:rsidRDefault="00000000">
      <w:pPr>
        <w:pStyle w:val="ListBullet"/>
        <w:spacing w:after="40"/>
      </w:pPr>
      <w:r>
        <w:t>Incorporation of four historical incrementality experiments (Meta, TikTok, CTV) as windowed Bayesian priors active only within their test windows.</w:t>
      </w:r>
    </w:p>
    <w:p w14:paraId="067BDE55" w14:textId="77777777" w:rsidR="008B17B5" w:rsidRDefault="00000000">
      <w:pPr>
        <w:pStyle w:val="ListBullet"/>
        <w:spacing w:after="40"/>
      </w:pPr>
      <w:r>
        <w:t>Channel-level outputs: iCAC, iROAS, saturation curves, time-series of incremental contribution, and a structured decisioning table.</w:t>
      </w:r>
    </w:p>
    <w:p w14:paraId="590D28DC" w14:textId="77777777" w:rsidR="008B17B5" w:rsidRDefault="00000000">
      <w:pPr>
        <w:pStyle w:val="ListBullet"/>
        <w:spacing w:after="40"/>
      </w:pPr>
      <w:r>
        <w:t>Executive presentation, technical appendix, and reproducible Marimo notebooks.</w:t>
      </w:r>
    </w:p>
    <w:p w14:paraId="68E572C9" w14:textId="77777777" w:rsidR="008B17B5" w:rsidRDefault="00000000">
      <w:pPr>
        <w:pStyle w:val="Heading2"/>
      </w:pPr>
      <w:r>
        <w:rPr>
          <w:color w:val="1F3A68"/>
        </w:rPr>
        <w:t>Out of Scope</w:t>
      </w:r>
    </w:p>
    <w:p w14:paraId="45717451" w14:textId="77777777" w:rsidR="008B17B5" w:rsidRDefault="00000000">
      <w:pPr>
        <w:pStyle w:val="ListBullet"/>
        <w:spacing w:after="40"/>
      </w:pPr>
      <w:r>
        <w:t>User-level attribution modeling and identity resolution.</w:t>
      </w:r>
    </w:p>
    <w:p w14:paraId="2C882576" w14:textId="77777777" w:rsidR="008B17B5" w:rsidRDefault="00000000">
      <w:pPr>
        <w:pStyle w:val="ListBullet"/>
        <w:spacing w:after="40"/>
      </w:pPr>
      <w:r>
        <w:t>Re-modeling of Kikoff's internal three-year LTV predictions — we consume the LTV_3YEAR field as-is.</w:t>
      </w:r>
    </w:p>
    <w:p w14:paraId="7E11F821" w14:textId="77777777" w:rsidR="008B17B5" w:rsidRDefault="00000000">
      <w:pPr>
        <w:pStyle w:val="ListBullet"/>
        <w:spacing w:after="40"/>
      </w:pPr>
      <w:r>
        <w:t>Externally sourced priors from third-party benchmarks; only Kikoff's own incrementality tests inform priors.</w:t>
      </w:r>
    </w:p>
    <w:p w14:paraId="12690925" w14:textId="77777777" w:rsidR="008B17B5" w:rsidRDefault="00000000">
      <w:pPr>
        <w:pStyle w:val="ListBullet"/>
        <w:spacing w:after="40"/>
      </w:pPr>
      <w:r>
        <w:t>Modeling spend or outcomes after March 31, 2026 (model cutoff).</w:t>
      </w:r>
    </w:p>
    <w:p w14:paraId="62908D5B" w14:textId="77777777" w:rsidR="008B17B5" w:rsidRDefault="00000000">
      <w:pPr>
        <w:pStyle w:val="ListBullet"/>
        <w:spacing w:after="40"/>
      </w:pPr>
      <w:r>
        <w:t>Production deployment, real-time scoring, or vendor-managed dashboarding.</w:t>
      </w:r>
    </w:p>
    <w:p w14:paraId="5E8BCFBF" w14:textId="77777777" w:rsidR="008B17B5" w:rsidRDefault="00000000">
      <w:pPr>
        <w:pStyle w:val="Heading1"/>
      </w:pPr>
      <w:r>
        <w:rPr>
          <w:color w:val="1F3A68"/>
        </w:rPr>
        <w:t>5.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819"/>
        <w:gridCol w:w="1701"/>
      </w:tblGrid>
      <w:tr w:rsidR="008B17B5" w14:paraId="351597C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4ADBD9C" w14:textId="77777777" w:rsidR="008B17B5" w:rsidRDefault="00000000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84FE0BE" w14:textId="77777777" w:rsidR="008B17B5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B6D8F0B" w14:textId="77777777" w:rsidR="008B17B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8B17B5" w14:paraId="3189EA5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6C6DA9" w14:textId="77777777" w:rsidR="008B17B5" w:rsidRDefault="00000000">
            <w:r>
              <w:rPr>
                <w:b/>
                <w:sz w:val="20"/>
              </w:rPr>
              <w:t>Phase 1 Data Audit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B7A0FF" w14:textId="77777777" w:rsidR="008B17B5" w:rsidRDefault="00000000">
            <w:r>
              <w:rPr>
                <w:sz w:val="20"/>
              </w:rPr>
              <w:t>Reconciliation of raw sources into a clean modeling window with documented channel taxonomy.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A81DBF" w14:textId="77777777" w:rsidR="008B17B5" w:rsidRDefault="00000000">
            <w:r>
              <w:rPr>
                <w:sz w:val="20"/>
              </w:rPr>
              <w:t>Complete</w:t>
            </w:r>
          </w:p>
        </w:tc>
      </w:tr>
      <w:tr w:rsidR="008B17B5" w14:paraId="2AB9175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2EF4600" w14:textId="77777777" w:rsidR="008B17B5" w:rsidRDefault="00000000">
            <w:r>
              <w:rPr>
                <w:b/>
                <w:sz w:val="20"/>
              </w:rPr>
              <w:t>Midterm Presentation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005D2B4C" w14:textId="77777777" w:rsidR="008B17B5" w:rsidRDefault="00000000">
            <w:r>
              <w:rPr>
                <w:sz w:val="20"/>
              </w:rPr>
              <w:t>Fifteen-minute progress walkthrough delivered to client sponsor and faculty supervisor.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152A60E" w14:textId="77777777" w:rsidR="008B17B5" w:rsidRDefault="00000000">
            <w:r>
              <w:rPr>
                <w:sz w:val="20"/>
              </w:rPr>
              <w:t>Complete</w:t>
            </w:r>
          </w:p>
        </w:tc>
      </w:tr>
      <w:tr w:rsidR="008B17B5" w14:paraId="6C196EB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C14BEA" w14:textId="77777777" w:rsidR="008B17B5" w:rsidRDefault="00000000">
            <w:r>
              <w:rPr>
                <w:b/>
                <w:sz w:val="20"/>
              </w:rPr>
              <w:t xml:space="preserve">Model 1 — Weekly </w:t>
            </w:r>
            <w:r>
              <w:rPr>
                <w:b/>
                <w:sz w:val="20"/>
              </w:rPr>
              <w:lastRenderedPageBreak/>
              <w:t>Conversions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8A1DDC" w14:textId="77777777" w:rsidR="008B17B5" w:rsidRDefault="00000000">
            <w:r>
              <w:rPr>
                <w:sz w:val="20"/>
              </w:rPr>
              <w:lastRenderedPageBreak/>
              <w:t xml:space="preserve">Bayesian MMM with full-channel coverage, convergence diagnostics, and posterior iCAC/iROAS </w:t>
            </w:r>
            <w:r>
              <w:rPr>
                <w:sz w:val="20"/>
              </w:rPr>
              <w:lastRenderedPageBreak/>
              <w:t>distributions.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A85031" w14:textId="77777777" w:rsidR="008B17B5" w:rsidRDefault="00000000">
            <w:r>
              <w:rPr>
                <w:sz w:val="20"/>
              </w:rPr>
              <w:lastRenderedPageBreak/>
              <w:t>In progress</w:t>
            </w:r>
          </w:p>
        </w:tc>
      </w:tr>
      <w:tr w:rsidR="008B17B5" w14:paraId="78A90FD0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6BA7479" w14:textId="77777777" w:rsidR="008B17B5" w:rsidRDefault="00000000">
            <w:r>
              <w:rPr>
                <w:b/>
                <w:sz w:val="20"/>
              </w:rPr>
              <w:t>Model 2 — Weekly Three-Year LTV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5A130CC3" w14:textId="77777777" w:rsidR="008B17B5" w:rsidRDefault="00000000">
            <w:r>
              <w:rPr>
                <w:sz w:val="20"/>
              </w:rPr>
              <w:t>Parallel Bayesian MMM with LTV as the dependent variable.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7DD87A2" w14:textId="77777777" w:rsidR="008B17B5" w:rsidRDefault="00000000">
            <w:r>
              <w:rPr>
                <w:sz w:val="20"/>
              </w:rPr>
              <w:t>In progress</w:t>
            </w:r>
          </w:p>
        </w:tc>
      </w:tr>
      <w:tr w:rsidR="008B17B5" w14:paraId="77EC3BE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D0A716" w14:textId="77777777" w:rsidR="008B17B5" w:rsidRDefault="00000000">
            <w:r>
              <w:rPr>
                <w:b/>
                <w:sz w:val="20"/>
              </w:rPr>
              <w:t>Channel Output Set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A6A885" w14:textId="77777777" w:rsidR="008B17B5" w:rsidRDefault="00000000">
            <w:r>
              <w:rPr>
                <w:sz w:val="20"/>
              </w:rPr>
              <w:t>Saturation curve, iCAC/iROAS over time, spend distribution, and confidence bands for each of the 19 channel × platform segments.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9BD2A0" w14:textId="77777777" w:rsidR="008B17B5" w:rsidRDefault="00000000">
            <w:r>
              <w:rPr>
                <w:sz w:val="20"/>
              </w:rPr>
              <w:t>In progress</w:t>
            </w:r>
          </w:p>
        </w:tc>
      </w:tr>
      <w:tr w:rsidR="008B17B5" w14:paraId="45D7A9F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CC42AAC" w14:textId="77777777" w:rsidR="008B17B5" w:rsidRDefault="00000000">
            <w:r>
              <w:rPr>
                <w:b/>
                <w:sz w:val="20"/>
              </w:rPr>
              <w:t>Decisioning Framework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4CA5E312" w14:textId="77777777" w:rsidR="008B17B5" w:rsidRDefault="00000000">
            <w:r>
              <w:rPr>
                <w:sz w:val="20"/>
              </w:rPr>
              <w:t>Eight-column channel-level sheet covering current spend signal, iCAC and ROAS trends, model confidence, saturation read, recommended action, and proposed spend move.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3051A89" w14:textId="77777777" w:rsidR="008B17B5" w:rsidRDefault="00000000">
            <w:r>
              <w:rPr>
                <w:sz w:val="20"/>
              </w:rPr>
              <w:t>Planned</w:t>
            </w:r>
          </w:p>
        </w:tc>
      </w:tr>
      <w:tr w:rsidR="008B17B5" w14:paraId="77DAF3D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9FA13F" w14:textId="77777777" w:rsidR="008B17B5" w:rsidRDefault="00000000">
            <w:r>
              <w:rPr>
                <w:b/>
                <w:sz w:val="20"/>
              </w:rPr>
              <w:t>Executive Presentation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F9E326" w14:textId="77777777" w:rsidR="008B17B5" w:rsidRDefault="00000000">
            <w:r>
              <w:rPr>
                <w:sz w:val="20"/>
              </w:rPr>
              <w:t>Final stakeholder deck covering findings, limitations, and budget recommendations.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8C0CFB" w14:textId="77777777" w:rsidR="008B17B5" w:rsidRDefault="00000000">
            <w:r>
              <w:rPr>
                <w:sz w:val="20"/>
              </w:rPr>
              <w:t>Planned</w:t>
            </w:r>
          </w:p>
        </w:tc>
      </w:tr>
      <w:tr w:rsidR="008B17B5" w14:paraId="4FD27C3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5C96635" w14:textId="77777777" w:rsidR="008B17B5" w:rsidRDefault="00000000">
            <w:r>
              <w:rPr>
                <w:b/>
                <w:sz w:val="20"/>
              </w:rPr>
              <w:t>Technical Appendix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A62D6B2" w14:textId="77777777" w:rsidR="008B17B5" w:rsidRDefault="00000000">
            <w:r>
              <w:rPr>
                <w:sz w:val="20"/>
              </w:rPr>
              <w:t>Methodology, assumptions, prior specification, and convergence diagnostics for future refresh cycles.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7CD34387" w14:textId="77777777" w:rsidR="008B17B5" w:rsidRDefault="00000000">
            <w:r>
              <w:rPr>
                <w:sz w:val="20"/>
              </w:rPr>
              <w:t>Planned</w:t>
            </w:r>
          </w:p>
        </w:tc>
      </w:tr>
      <w:tr w:rsidR="008B17B5" w14:paraId="3A0A06D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F432A7" w14:textId="77777777" w:rsidR="008B17B5" w:rsidRDefault="00000000">
            <w:r>
              <w:rPr>
                <w:b/>
                <w:sz w:val="20"/>
              </w:rPr>
              <w:t>Reproducible Codebase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48275B" w14:textId="77777777" w:rsidR="008B17B5" w:rsidRDefault="00000000">
            <w:r>
              <w:rPr>
                <w:sz w:val="20"/>
              </w:rPr>
              <w:t>Documented Marimo notebooks, scripts, and centralized configuration enabling quarterly refresh.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1A9D1D" w14:textId="77777777" w:rsidR="008B17B5" w:rsidRDefault="00000000">
            <w:r>
              <w:rPr>
                <w:sz w:val="20"/>
              </w:rPr>
              <w:t>Planned</w:t>
            </w:r>
          </w:p>
        </w:tc>
      </w:tr>
    </w:tbl>
    <w:p w14:paraId="2DB59E35" w14:textId="77777777" w:rsidR="008B17B5" w:rsidRDefault="00000000">
      <w:pPr>
        <w:pStyle w:val="Heading1"/>
      </w:pPr>
      <w:r>
        <w:rPr>
          <w:color w:val="1F3A68"/>
        </w:rPr>
        <w:t>6. Stakeholders &amp; Team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 w:rsidR="008B17B5" w14:paraId="17AA3778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B8315E5" w14:textId="77777777" w:rsidR="008B17B5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EEBC656" w14:textId="77777777" w:rsidR="008B17B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624AA69" w14:textId="77777777" w:rsidR="008B17B5" w:rsidRDefault="00000000">
            <w:r>
              <w:rPr>
                <w:b/>
                <w:color w:val="FFFFFF"/>
                <w:sz w:val="20"/>
              </w:rPr>
              <w:t>Organization</w:t>
            </w:r>
          </w:p>
        </w:tc>
      </w:tr>
      <w:tr w:rsidR="008B17B5" w14:paraId="5CA24928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1EA858" w14:textId="77777777" w:rsidR="008B17B5" w:rsidRDefault="00000000">
            <w:r>
              <w:rPr>
                <w:b/>
                <w:sz w:val="20"/>
              </w:rPr>
              <w:t>Client Sponsor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2D292F" w14:textId="77777777" w:rsidR="008B17B5" w:rsidRDefault="00000000">
            <w:r>
              <w:rPr>
                <w:sz w:val="20"/>
              </w:rPr>
              <w:t>Abheek Sinha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91DB99" w14:textId="77777777" w:rsidR="008B17B5" w:rsidRDefault="00000000">
            <w:r>
              <w:rPr>
                <w:sz w:val="20"/>
              </w:rPr>
              <w:t>Kikoff</w:t>
            </w:r>
          </w:p>
        </w:tc>
      </w:tr>
      <w:tr w:rsidR="008B17B5" w14:paraId="1FED688F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58DD75CC" w14:textId="77777777" w:rsidR="008B17B5" w:rsidRDefault="00000000">
            <w:r>
              <w:rPr>
                <w:b/>
                <w:sz w:val="20"/>
              </w:rPr>
              <w:t>Faculty Supervisor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42FCED06" w14:textId="77777777" w:rsidR="008B17B5" w:rsidRDefault="00000000">
            <w:r>
              <w:rPr>
                <w:sz w:val="20"/>
              </w:rPr>
              <w:t>Keith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7C1DD7D1" w14:textId="77777777" w:rsidR="008B17B5" w:rsidRDefault="00000000">
            <w:r>
              <w:rPr>
                <w:sz w:val="20"/>
              </w:rPr>
              <w:t>UC San Diego, Rady School of Management</w:t>
            </w:r>
          </w:p>
        </w:tc>
      </w:tr>
      <w:tr w:rsidR="008B17B5" w14:paraId="705F5C34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D1048C" w14:textId="77777777" w:rsidR="008B17B5" w:rsidRDefault="00000000">
            <w:r>
              <w:rPr>
                <w:b/>
                <w:sz w:val="20"/>
              </w:rPr>
              <w:t>Team Lead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A85D73" w14:textId="77777777" w:rsidR="008B17B5" w:rsidRDefault="00000000">
            <w:r>
              <w:rPr>
                <w:sz w:val="20"/>
              </w:rPr>
              <w:t>Yash Tiwari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1608E1" w14:textId="77777777" w:rsidR="008B17B5" w:rsidRDefault="00000000">
            <w:r>
              <w:rPr>
                <w:sz w:val="20"/>
              </w:rPr>
              <w:t>MSBA Capstone Team</w:t>
            </w:r>
          </w:p>
        </w:tc>
      </w:tr>
      <w:tr w:rsidR="008B17B5" w14:paraId="7E6753E0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5612723" w14:textId="77777777" w:rsidR="008B17B5" w:rsidRDefault="00000000">
            <w:r>
              <w:rPr>
                <w:b/>
                <w:sz w:val="20"/>
              </w:rPr>
              <w:t>Team Member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4B2720F0" w14:textId="77777777" w:rsidR="008B17B5" w:rsidRDefault="00000000">
            <w:r>
              <w:rPr>
                <w:sz w:val="20"/>
              </w:rPr>
              <w:t>Chunjiang Liu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7276C02" w14:textId="77777777" w:rsidR="008B17B5" w:rsidRDefault="00000000">
            <w:r>
              <w:rPr>
                <w:sz w:val="20"/>
              </w:rPr>
              <w:t>MSBA Capstone Team</w:t>
            </w:r>
          </w:p>
        </w:tc>
      </w:tr>
      <w:tr w:rsidR="008B17B5" w14:paraId="0ADF39C2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09BFB2" w14:textId="77777777" w:rsidR="008B17B5" w:rsidRDefault="00000000">
            <w:r>
              <w:rPr>
                <w:b/>
                <w:sz w:val="20"/>
              </w:rPr>
              <w:t>Team Member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0BEB26" w14:textId="77777777" w:rsidR="008B17B5" w:rsidRDefault="00000000">
            <w:r>
              <w:rPr>
                <w:sz w:val="20"/>
              </w:rPr>
              <w:t>Shivang Bhatt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4908B1" w14:textId="77777777" w:rsidR="008B17B5" w:rsidRDefault="00000000">
            <w:r>
              <w:rPr>
                <w:sz w:val="20"/>
              </w:rPr>
              <w:t>MSBA Capstone Team</w:t>
            </w:r>
          </w:p>
        </w:tc>
      </w:tr>
      <w:tr w:rsidR="008B17B5" w14:paraId="5483293E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0B77795" w14:textId="77777777" w:rsidR="008B17B5" w:rsidRDefault="00000000">
            <w:r>
              <w:rPr>
                <w:b/>
                <w:sz w:val="20"/>
              </w:rPr>
              <w:t>Team Member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09735A23" w14:textId="77777777" w:rsidR="008B17B5" w:rsidRDefault="00000000">
            <w:r>
              <w:rPr>
                <w:sz w:val="20"/>
              </w:rPr>
              <w:t>Yoko He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9559D60" w14:textId="77777777" w:rsidR="008B17B5" w:rsidRDefault="00000000">
            <w:r>
              <w:rPr>
                <w:sz w:val="20"/>
              </w:rPr>
              <w:t>MSBA Capstone Team</w:t>
            </w:r>
          </w:p>
        </w:tc>
      </w:tr>
      <w:tr w:rsidR="008B17B5" w14:paraId="542D29E2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D2004C" w14:textId="77777777" w:rsidR="008B17B5" w:rsidRDefault="00000000">
            <w:r>
              <w:rPr>
                <w:b/>
                <w:sz w:val="20"/>
              </w:rPr>
              <w:t>External Benchmark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62361C" w14:textId="77777777" w:rsidR="008B17B5" w:rsidRDefault="00000000">
            <w:r>
              <w:rPr>
                <w:sz w:val="20"/>
              </w:rPr>
              <w:t>Northbeam (MMM+)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C28320" w14:textId="77777777" w:rsidR="008B17B5" w:rsidRDefault="00000000">
            <w:r>
              <w:rPr>
                <w:sz w:val="20"/>
              </w:rPr>
              <w:t>Third-party measurement vendor</w:t>
            </w:r>
          </w:p>
        </w:tc>
      </w:tr>
    </w:tbl>
    <w:p w14:paraId="63AC9E7A" w14:textId="77777777" w:rsidR="008B17B5" w:rsidRDefault="00000000">
      <w:pPr>
        <w:pStyle w:val="Heading1"/>
      </w:pPr>
      <w:r>
        <w:rPr>
          <w:color w:val="1F3A68"/>
        </w:rPr>
        <w:t>7. Timeline &amp; Milestones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984"/>
        <w:gridCol w:w="3118"/>
        <w:gridCol w:w="1417"/>
      </w:tblGrid>
      <w:tr w:rsidR="008B17B5" w14:paraId="13B90363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048889B" w14:textId="77777777" w:rsidR="008B17B5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9AD9DCB" w14:textId="77777777" w:rsidR="008B17B5" w:rsidRDefault="00000000">
            <w:r>
              <w:rPr>
                <w:b/>
                <w:color w:val="FFFFFF"/>
                <w:sz w:val="20"/>
              </w:rPr>
              <w:t>Window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48B356A" w14:textId="77777777" w:rsidR="008B17B5" w:rsidRDefault="00000000"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B8CCD9D" w14:textId="77777777" w:rsidR="008B17B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8B17B5" w14:paraId="09ABCAEC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C3B07A" w14:textId="77777777" w:rsidR="008B17B5" w:rsidRDefault="00000000">
            <w:r>
              <w:rPr>
                <w:b/>
                <w:sz w:val="20"/>
              </w:rPr>
              <w:t>Phase 1 — Business Understanding &amp; Data Audit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56050C" w14:textId="77777777" w:rsidR="008B17B5" w:rsidRDefault="00000000">
            <w:r>
              <w:rPr>
                <w:sz w:val="20"/>
              </w:rPr>
              <w:t>Mid-Mar – Apr 28, 2026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0C7733" w14:textId="77777777" w:rsidR="008B17B5" w:rsidRDefault="00000000">
            <w:r>
              <w:rPr>
                <w:sz w:val="20"/>
              </w:rPr>
              <w:t>Clean modeling window (639 days), 19 channels mapped, four incrementality tests identified.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45B134" w14:textId="77777777" w:rsidR="008B17B5" w:rsidRDefault="00000000">
            <w:r>
              <w:rPr>
                <w:sz w:val="20"/>
              </w:rPr>
              <w:t>Complete</w:t>
            </w:r>
          </w:p>
        </w:tc>
      </w:tr>
      <w:tr w:rsidR="008B17B5" w14:paraId="603EB196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E946799" w14:textId="77777777" w:rsidR="008B17B5" w:rsidRDefault="00000000">
            <w:r>
              <w:rPr>
                <w:b/>
                <w:sz w:val="20"/>
              </w:rPr>
              <w:lastRenderedPageBreak/>
              <w:t>Phase 2a — Data Preparation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E572456" w14:textId="77777777" w:rsidR="008B17B5" w:rsidRDefault="00000000">
            <w:r>
              <w:rPr>
                <w:sz w:val="20"/>
              </w:rPr>
              <w:t>Apr 28 – May 3, 2026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019C339" w14:textId="77777777" w:rsidR="008B17B5" w:rsidRDefault="00000000">
            <w:r>
              <w:rPr>
                <w:sz w:val="20"/>
              </w:rPr>
              <w:t>Weekly aggregation, channel normalization, LTV imputation, and prior specification.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7631C39" w14:textId="77777777" w:rsidR="008B17B5" w:rsidRDefault="00000000">
            <w:r>
              <w:rPr>
                <w:sz w:val="20"/>
              </w:rPr>
              <w:t>Complete</w:t>
            </w:r>
          </w:p>
        </w:tc>
      </w:tr>
      <w:tr w:rsidR="008B17B5" w14:paraId="6CBFD85A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2FC37F" w14:textId="77777777" w:rsidR="008B17B5" w:rsidRDefault="00000000">
            <w:r>
              <w:rPr>
                <w:b/>
                <w:sz w:val="20"/>
              </w:rPr>
              <w:t>Phase 2b — Model Build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6BD095" w14:textId="77777777" w:rsidR="008B17B5" w:rsidRDefault="00000000">
            <w:r>
              <w:rPr>
                <w:sz w:val="20"/>
              </w:rPr>
              <w:t>May 3 – May 31, 2026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2D97C0" w14:textId="77777777" w:rsidR="008B17B5" w:rsidRDefault="00000000">
            <w:r>
              <w:rPr>
                <w:sz w:val="20"/>
              </w:rPr>
              <w:t>Full-channel Bayesian MMM (Models 1 and 2) passing convergence and contribution gates.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23A6B9" w14:textId="77777777" w:rsidR="008B17B5" w:rsidRDefault="00000000">
            <w:r>
              <w:rPr>
                <w:sz w:val="20"/>
              </w:rPr>
              <w:t>In progress</w:t>
            </w:r>
          </w:p>
        </w:tc>
      </w:tr>
      <w:tr w:rsidR="008B17B5" w14:paraId="2815CC0B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6DBEA09" w14:textId="77777777" w:rsidR="008B17B5" w:rsidRDefault="00000000">
            <w:r>
              <w:rPr>
                <w:b/>
                <w:sz w:val="20"/>
              </w:rPr>
              <w:t>Phase 2c — Channel Output Set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0DAE1FFB" w14:textId="77777777" w:rsidR="008B17B5" w:rsidRDefault="00000000">
            <w:r>
              <w:rPr>
                <w:sz w:val="20"/>
              </w:rPr>
              <w:t>May 10 – May 31, 2026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C0DA950" w14:textId="77777777" w:rsidR="008B17B5" w:rsidRDefault="00000000">
            <w:r>
              <w:rPr>
                <w:sz w:val="20"/>
              </w:rPr>
              <w:t>Saturation curves, time-series, and confidence bands across all channels.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32546B0" w14:textId="77777777" w:rsidR="008B17B5" w:rsidRDefault="00000000">
            <w:r>
              <w:rPr>
                <w:sz w:val="20"/>
              </w:rPr>
              <w:t>In progress</w:t>
            </w:r>
          </w:p>
        </w:tc>
      </w:tr>
      <w:tr w:rsidR="008B17B5" w14:paraId="5236EAF4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41905E" w14:textId="77777777" w:rsidR="008B17B5" w:rsidRDefault="00000000">
            <w:r>
              <w:rPr>
                <w:b/>
                <w:sz w:val="20"/>
              </w:rPr>
              <w:t>Phase 3 — Decisioning &amp; Scenarios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4C6633" w14:textId="77777777" w:rsidR="008B17B5" w:rsidRDefault="00000000">
            <w:r>
              <w:rPr>
                <w:sz w:val="20"/>
              </w:rPr>
              <w:t>May 20 – Jun 2, 2026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F99CA0" w14:textId="77777777" w:rsidR="008B17B5" w:rsidRDefault="00000000">
            <w:r>
              <w:rPr>
                <w:sz w:val="20"/>
              </w:rPr>
              <w:t>Channel-level decisioning sheet and seasonal budget allocation scenarios.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FA87C2" w14:textId="77777777" w:rsidR="008B17B5" w:rsidRDefault="00000000">
            <w:r>
              <w:rPr>
                <w:sz w:val="20"/>
              </w:rPr>
              <w:t>Planned</w:t>
            </w:r>
          </w:p>
        </w:tc>
      </w:tr>
      <w:tr w:rsidR="008B17B5" w14:paraId="5806274D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FE06570" w14:textId="77777777" w:rsidR="008B17B5" w:rsidRDefault="00000000">
            <w:r>
              <w:rPr>
                <w:b/>
                <w:sz w:val="20"/>
              </w:rPr>
              <w:t>Phase 4 — Synthesis &amp; Handoff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7EA04882" w14:textId="77777777" w:rsidR="008B17B5" w:rsidRDefault="00000000">
            <w:r>
              <w:rPr>
                <w:sz w:val="20"/>
              </w:rPr>
              <w:t>Jun 2 – Jun 6, 2026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60AA6B9" w14:textId="77777777" w:rsidR="008B17B5" w:rsidRDefault="00000000">
            <w:r>
              <w:rPr>
                <w:sz w:val="20"/>
              </w:rPr>
              <w:t>Executive presentation, technical appendix, and final codebase delivery.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41AAFF05" w14:textId="77777777" w:rsidR="008B17B5" w:rsidRDefault="00000000">
            <w:r>
              <w:rPr>
                <w:sz w:val="20"/>
              </w:rPr>
              <w:t>Planned</w:t>
            </w:r>
          </w:p>
        </w:tc>
      </w:tr>
    </w:tbl>
    <w:p w14:paraId="7F1E8F8F" w14:textId="77777777" w:rsidR="008B17B5" w:rsidRDefault="00000000">
      <w:pPr>
        <w:pStyle w:val="Heading1"/>
      </w:pPr>
      <w:r>
        <w:rPr>
          <w:color w:val="1F3A68"/>
        </w:rPr>
        <w:t>8. Approach &amp; Methodology</w:t>
      </w:r>
    </w:p>
    <w:p w14:paraId="527651F1" w14:textId="77777777" w:rsidR="008B17B5" w:rsidRDefault="00000000">
      <w:r>
        <w:t>We are using a Bayesian Marketing Mix Model implemented in PyMC-Marketing. The Bayesian framework is well suited to this engagement for three reasons: it allows us to encode Kikoff's own incrementality experiments as informative priors; it returns full posterior distributions over channel effects rather than single point estimates; and it produces uncertainty intervals that are honest about what the data can and cannot reveal.</w:t>
      </w:r>
    </w:p>
    <w:p w14:paraId="20326118" w14:textId="77777777" w:rsidR="008B17B5" w:rsidRDefault="00000000">
      <w:r>
        <w:t>Core methodological choices:</w:t>
      </w:r>
    </w:p>
    <w:p w14:paraId="47C3A7B1" w14:textId="77777777" w:rsidR="008B17B5" w:rsidRDefault="00000000">
      <w:pPr>
        <w:pStyle w:val="ListBullet"/>
        <w:spacing w:after="40"/>
      </w:pPr>
      <w:r>
        <w:t>Weekly time grain, with daily channel spend and outcomes aggregated to weekly sums.</w:t>
      </w:r>
    </w:p>
    <w:p w14:paraId="38050033" w14:textId="77777777" w:rsidR="008B17B5" w:rsidRDefault="00000000">
      <w:pPr>
        <w:pStyle w:val="ListBullet"/>
        <w:spacing w:after="40"/>
      </w:pPr>
      <w:r>
        <w:t>Geometric adstock to capture delayed effects of paid exposure across roughly an eight-week window.</w:t>
      </w:r>
    </w:p>
    <w:p w14:paraId="32E588A2" w14:textId="77777777" w:rsidR="008B17B5" w:rsidRDefault="00000000">
      <w:pPr>
        <w:pStyle w:val="ListBullet"/>
        <w:spacing w:after="40"/>
      </w:pPr>
      <w:r>
        <w:t>Logistic saturation to model diminishing returns as spend grows.</w:t>
      </w:r>
    </w:p>
    <w:p w14:paraId="2AB77C1B" w14:textId="77777777" w:rsidR="008B17B5" w:rsidRDefault="00000000">
      <w:pPr>
        <w:pStyle w:val="ListBullet"/>
        <w:spacing w:after="40"/>
      </w:pPr>
      <w:r>
        <w:t>Windowed incrementality priors: lift-test evidence constrains the model only within each test's observed dates, not across the full history.</w:t>
      </w:r>
    </w:p>
    <w:p w14:paraId="5C20D5B3" w14:textId="77777777" w:rsidR="008B17B5" w:rsidRDefault="00000000">
      <w:pPr>
        <w:pStyle w:val="ListBullet"/>
        <w:spacing w:after="40"/>
      </w:pPr>
      <w:r>
        <w:t>Full-channel specification: every channel is included simultaneously so that no excluded driver biases the remaining coefficients.</w:t>
      </w:r>
    </w:p>
    <w:p w14:paraId="72B30F36" w14:textId="77777777" w:rsidR="008B17B5" w:rsidRDefault="00000000">
      <w:pPr>
        <w:pStyle w:val="ListBullet"/>
        <w:spacing w:after="40"/>
      </w:pPr>
      <w:r>
        <w:t>Convergence and contribution gates are validated before any output is shared.</w:t>
      </w:r>
    </w:p>
    <w:p w14:paraId="5A5B8CFE" w14:textId="77777777" w:rsidR="008B17B5" w:rsidRDefault="00000000">
      <w:pPr>
        <w:pStyle w:val="Heading1"/>
      </w:pPr>
      <w:r>
        <w:rPr>
          <w:color w:val="1F3A68"/>
        </w:rPr>
        <w:lastRenderedPageBreak/>
        <w:t>9. Success Criteria</w:t>
      </w:r>
    </w:p>
    <w:p w14:paraId="38B961F6" w14:textId="77777777" w:rsidR="00F672E5" w:rsidRDefault="00F672E5">
      <w:pPr>
        <w:pStyle w:val="Heading2"/>
        <w:rPr>
          <w:color w:val="1F3A68"/>
        </w:rPr>
      </w:pPr>
    </w:p>
    <w:p w14:paraId="053CC837" w14:textId="79F4A05F" w:rsidR="008B17B5" w:rsidRDefault="00000000">
      <w:pPr>
        <w:pStyle w:val="Heading2"/>
      </w:pPr>
      <w:r>
        <w:rPr>
          <w:color w:val="1F3A68"/>
        </w:rPr>
        <w:t>Model Health Gates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535"/>
      </w:tblGrid>
      <w:tr w:rsidR="008B17B5" w14:paraId="1E5F45B5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7D99497" w14:textId="77777777" w:rsidR="008B17B5" w:rsidRDefault="00000000">
            <w:r>
              <w:rPr>
                <w:b/>
                <w:color w:val="FFFFFF"/>
                <w:sz w:val="20"/>
              </w:rPr>
              <w:t>Diagnostic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1261795" w14:textId="77777777" w:rsidR="008B17B5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D6387D7" w14:textId="77777777" w:rsidR="008B17B5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8B17B5" w14:paraId="10F64735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01FB4F" w14:textId="77777777" w:rsidR="008B17B5" w:rsidRDefault="00000000">
            <w:r>
              <w:rPr>
                <w:b/>
                <w:sz w:val="20"/>
              </w:rPr>
              <w:t>R-hat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12D547" w14:textId="77777777" w:rsidR="008B17B5" w:rsidRDefault="00000000">
            <w:r>
              <w:rPr>
                <w:sz w:val="20"/>
              </w:rPr>
              <w:t>&lt; 1.05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8CB485" w14:textId="77777777" w:rsidR="008B17B5" w:rsidRDefault="00000000">
            <w:r>
              <w:rPr>
                <w:sz w:val="20"/>
              </w:rPr>
              <w:t>Chain convergence across posterior samples.</w:t>
            </w:r>
          </w:p>
        </w:tc>
      </w:tr>
      <w:tr w:rsidR="008B17B5" w14:paraId="36E22790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53167D84" w14:textId="77777777" w:rsidR="008B17B5" w:rsidRDefault="00000000">
            <w:r>
              <w:rPr>
                <w:b/>
                <w:sz w:val="20"/>
              </w:rPr>
              <w:t>Effective Sample Size (ESS)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0DA12D0" w14:textId="77777777" w:rsidR="008B17B5" w:rsidRDefault="00000000">
            <w:r>
              <w:rPr>
                <w:sz w:val="20"/>
              </w:rPr>
              <w:t>&gt; 350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9107194" w14:textId="77777777" w:rsidR="008B17B5" w:rsidRDefault="00000000">
            <w:r>
              <w:rPr>
                <w:sz w:val="20"/>
              </w:rPr>
              <w:t>Sufficient independent posterior information.</w:t>
            </w:r>
          </w:p>
        </w:tc>
      </w:tr>
      <w:tr w:rsidR="008B17B5" w14:paraId="5B065698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148F43" w14:textId="77777777" w:rsidR="008B17B5" w:rsidRDefault="00000000">
            <w:r>
              <w:rPr>
                <w:b/>
                <w:sz w:val="20"/>
              </w:rPr>
              <w:t>Divergences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C8CFE9" w14:textId="77777777" w:rsidR="008B17B5" w:rsidRDefault="00000000">
            <w:r>
              <w:rPr>
                <w:sz w:val="20"/>
              </w:rPr>
              <w:t>&lt; 50 per model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DCFDEE" w14:textId="77777777" w:rsidR="008B17B5" w:rsidRDefault="00000000">
            <w:r>
              <w:rPr>
                <w:sz w:val="20"/>
              </w:rPr>
              <w:t>Numerical stability of the sampler.</w:t>
            </w:r>
          </w:p>
        </w:tc>
      </w:tr>
      <w:tr w:rsidR="008B17B5" w14:paraId="364E9CC2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D34FBD5" w14:textId="77777777" w:rsidR="008B17B5" w:rsidRDefault="00000000">
            <w:r>
              <w:rPr>
                <w:b/>
                <w:sz w:val="20"/>
              </w:rPr>
              <w:t>Sum of channel contributions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4ADE277" w14:textId="77777777" w:rsidR="008B17B5" w:rsidRDefault="00000000">
            <w:r>
              <w:rPr>
                <w:sz w:val="20"/>
              </w:rPr>
              <w:t>0 – 100 percent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DD598AA" w14:textId="77777777" w:rsidR="008B17B5" w:rsidRDefault="00000000">
            <w:r>
              <w:rPr>
                <w:sz w:val="20"/>
              </w:rPr>
              <w:t>No impossible over- or under-attribution.</w:t>
            </w:r>
          </w:p>
        </w:tc>
      </w:tr>
      <w:tr w:rsidR="008B17B5" w14:paraId="161F8893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E080A4" w14:textId="77777777" w:rsidR="008B17B5" w:rsidRDefault="00000000">
            <w:r>
              <w:rPr>
                <w:b/>
                <w:sz w:val="20"/>
              </w:rPr>
              <w:t>Baseline contribution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B3D5F7" w14:textId="77777777" w:rsidR="008B17B5" w:rsidRDefault="00000000">
            <w:r>
              <w:rPr>
                <w:sz w:val="20"/>
              </w:rPr>
              <w:t>&lt; 80 percent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243C05" w14:textId="77777777" w:rsidR="008B17B5" w:rsidRDefault="00000000">
            <w:r>
              <w:rPr>
                <w:sz w:val="20"/>
              </w:rPr>
              <w:t>Channels meaningfully explain variation in the outcome.</w:t>
            </w:r>
          </w:p>
        </w:tc>
      </w:tr>
      <w:tr w:rsidR="008B17B5" w14:paraId="2EF13F03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52C73383" w14:textId="77777777" w:rsidR="008B17B5" w:rsidRDefault="00000000">
            <w:r>
              <w:rPr>
                <w:b/>
                <w:sz w:val="20"/>
              </w:rPr>
              <w:t>Per-channel iCAC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F1006B3" w14:textId="77777777" w:rsidR="008B17B5" w:rsidRDefault="00000000">
            <w:r>
              <w:rPr>
                <w:sz w:val="20"/>
              </w:rPr>
              <w:t>Within $30 – $500 sanity range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4DDE042" w14:textId="77777777" w:rsidR="008B17B5" w:rsidRDefault="00000000">
            <w:r>
              <w:rPr>
                <w:sz w:val="20"/>
              </w:rPr>
              <w:t>Outputs align with realistic acquisition economics.</w:t>
            </w:r>
          </w:p>
        </w:tc>
      </w:tr>
    </w:tbl>
    <w:p w14:paraId="780B134E" w14:textId="77777777" w:rsidR="008B17B5" w:rsidRDefault="00000000">
      <w:pPr>
        <w:pStyle w:val="Heading2"/>
      </w:pPr>
      <w:r>
        <w:rPr>
          <w:color w:val="1F3A68"/>
        </w:rPr>
        <w:t>Business Acceptance Criteria</w:t>
      </w:r>
    </w:p>
    <w:p w14:paraId="5BF08089" w14:textId="77777777" w:rsidR="008B17B5" w:rsidRDefault="00000000">
      <w:pPr>
        <w:pStyle w:val="ListBullet"/>
        <w:spacing w:after="40"/>
      </w:pPr>
      <w:r>
        <w:t>Output is directionally stable and interpretable for non-technical executives.</w:t>
      </w:r>
    </w:p>
    <w:p w14:paraId="347FE282" w14:textId="77777777" w:rsidR="008B17B5" w:rsidRDefault="00000000">
      <w:pPr>
        <w:pStyle w:val="ListBullet"/>
        <w:spacing w:after="40"/>
      </w:pPr>
      <w:r>
        <w:t>Channels with diminishing returns are clearly distinguished from channels with scalable upside.</w:t>
      </w:r>
    </w:p>
    <w:p w14:paraId="29216DCB" w14:textId="77777777" w:rsidR="008B17B5" w:rsidRDefault="00000000">
      <w:pPr>
        <w:pStyle w:val="ListBullet"/>
        <w:spacing w:after="40"/>
      </w:pPr>
      <w:r>
        <w:t>Recommendations align directionally with Kikoff's internal MMM and the Northbeam MMM+ benchmark (point-perfect agreement is not required; directional consistency is).</w:t>
      </w:r>
    </w:p>
    <w:p w14:paraId="027DD30D" w14:textId="77777777" w:rsidR="008B17B5" w:rsidRDefault="00000000">
      <w:pPr>
        <w:pStyle w:val="ListBullet"/>
        <w:spacing w:after="40"/>
      </w:pPr>
      <w:r>
        <w:t>Methodology and assumptions are fully documented and reproducible by Kikoff's growth team.</w:t>
      </w:r>
    </w:p>
    <w:p w14:paraId="30164615" w14:textId="77777777" w:rsidR="008B17B5" w:rsidRDefault="00000000">
      <w:pPr>
        <w:pStyle w:val="Heading1"/>
      </w:pPr>
      <w:r>
        <w:rPr>
          <w:color w:val="1F3A68"/>
        </w:rPr>
        <w:t>10. Key Assumptions</w:t>
      </w:r>
    </w:p>
    <w:p w14:paraId="618B5B7C" w14:textId="77777777" w:rsidR="008B17B5" w:rsidRDefault="00000000">
      <w:pPr>
        <w:pStyle w:val="ListBullet"/>
        <w:spacing w:after="40"/>
      </w:pPr>
      <w:r>
        <w:t>Daily channel spend, conversions, and three-year LTV are available and reasonably accurate across the modeling window (July 2024 – March 2026).</w:t>
      </w:r>
    </w:p>
    <w:p w14:paraId="3A419C4F" w14:textId="77777777" w:rsidR="008B17B5" w:rsidRDefault="00000000">
      <w:pPr>
        <w:pStyle w:val="ListBullet"/>
        <w:spacing w:after="40"/>
      </w:pPr>
      <w:r>
        <w:t>Three-year LTV predictions supplied by Kikoff are treated as the ground-truth dependent variable for Model 2.</w:t>
      </w:r>
    </w:p>
    <w:p w14:paraId="02164AA2" w14:textId="77777777" w:rsidR="008B17B5" w:rsidRDefault="00000000">
      <w:pPr>
        <w:pStyle w:val="ListBullet"/>
        <w:spacing w:after="40"/>
      </w:pPr>
      <w:r>
        <w:t>All paid channels with material spend must be modeled together; excluding any channel would bias the remaining estimates.</w:t>
      </w:r>
    </w:p>
    <w:p w14:paraId="2C39EAB7" w14:textId="77777777" w:rsidR="008B17B5" w:rsidRDefault="00000000">
      <w:pPr>
        <w:pStyle w:val="ListBullet"/>
        <w:spacing w:after="40"/>
      </w:pPr>
      <w:r>
        <w:t>Incrementality tests are most informative within their observed test windows; their evidence does not generalize uniformly across the full history.</w:t>
      </w:r>
    </w:p>
    <w:p w14:paraId="44EE3B5C" w14:textId="77777777" w:rsidR="008B17B5" w:rsidRDefault="00000000">
      <w:pPr>
        <w:pStyle w:val="ListBullet"/>
        <w:spacing w:after="40"/>
      </w:pPr>
      <w:r>
        <w:t>A residual baseline contribution between 20 and 60 percent is expected and acceptable, reflecting organic demand and unmodeled drivers.</w:t>
      </w:r>
    </w:p>
    <w:p w14:paraId="026810D7" w14:textId="77777777" w:rsidR="008B17B5" w:rsidRDefault="00000000">
      <w:pPr>
        <w:pStyle w:val="ListBullet"/>
        <w:spacing w:after="40"/>
      </w:pPr>
      <w:r>
        <w:t>Directional accuracy at roughly the fifty-percent level is acceptable; the deliverable is decision support, not point-perfect attribution.</w:t>
      </w:r>
    </w:p>
    <w:p w14:paraId="6D5AC877" w14:textId="77777777" w:rsidR="008B17B5" w:rsidRDefault="00000000">
      <w:pPr>
        <w:pStyle w:val="Heading1"/>
      </w:pPr>
      <w:r>
        <w:rPr>
          <w:color w:val="1F3A68"/>
        </w:rPr>
        <w:lastRenderedPageBreak/>
        <w:t>11. Risks &amp; Mitigations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417"/>
        <w:gridCol w:w="3969"/>
      </w:tblGrid>
      <w:tr w:rsidR="008B17B5" w14:paraId="264FDBE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EC97E8F" w14:textId="77777777" w:rsidR="008B17B5" w:rsidRDefault="00000000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30911FC" w14:textId="77777777" w:rsidR="008B17B5" w:rsidRDefault="00000000"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E03C8D0" w14:textId="77777777" w:rsidR="008B17B5" w:rsidRDefault="00000000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23BAC5A" w14:textId="77777777" w:rsidR="008B17B5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8B17B5" w14:paraId="2FEE0504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B3F346" w14:textId="77777777" w:rsidR="008B17B5" w:rsidRDefault="00000000">
            <w:r>
              <w:rPr>
                <w:b/>
                <w:sz w:val="20"/>
              </w:rPr>
              <w:t>Slow posterior mixing on some channels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88B3C5" w14:textId="77777777" w:rsidR="008B17B5" w:rsidRDefault="00000000">
            <w:r>
              <w:rPr>
                <w:sz w:val="20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6589A0" w14:textId="77777777" w:rsidR="008B17B5" w:rsidRDefault="00000000">
            <w:r>
              <w:rPr>
                <w:sz w:val="20"/>
              </w:rPr>
              <w:t>Wider credible intervals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5D78BF" w14:textId="77777777" w:rsidR="008B17B5" w:rsidRDefault="00000000">
            <w:r>
              <w:rPr>
                <w:sz w:val="20"/>
              </w:rPr>
              <w:t>Accept honest uncertainty; report intervals; reserve aggressive recommendations for well-identified channels.</w:t>
            </w:r>
          </w:p>
        </w:tc>
      </w:tr>
      <w:tr w:rsidR="008B17B5" w14:paraId="184C498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59433053" w14:textId="77777777" w:rsidR="008B17B5" w:rsidRDefault="00000000">
            <w:r>
              <w:rPr>
                <w:b/>
                <w:sz w:val="20"/>
              </w:rPr>
              <w:t>Spend-pacing confounds (e.g., iOS) inflate apparent channel effects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01A1B563" w14:textId="77777777" w:rsidR="008B17B5" w:rsidRDefault="00000000">
            <w:r>
              <w:rPr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3B84EF0" w14:textId="77777777" w:rsidR="008B17B5" w:rsidRDefault="00000000">
            <w:r>
              <w:rPr>
                <w:sz w:val="20"/>
              </w:rPr>
              <w:t>Biased iCAC for affected channels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40B91AF7" w14:textId="77777777" w:rsidR="008B17B5" w:rsidRDefault="00000000">
            <w:r>
              <w:rPr>
                <w:sz w:val="20"/>
              </w:rPr>
              <w:t>Flag affected channels as low-confidence in the decisioning framework; recommend follow-up holdout testing rather than budget moves.</w:t>
            </w:r>
          </w:p>
        </w:tc>
      </w:tr>
      <w:tr w:rsidR="008B17B5" w14:paraId="4CD538E2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AE0029" w14:textId="77777777" w:rsidR="008B17B5" w:rsidRDefault="00000000">
            <w:r>
              <w:rPr>
                <w:b/>
                <w:sz w:val="20"/>
              </w:rPr>
              <w:t>Omitted drivers absorbed into baseline (organic, brand, word-of-mouth)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48F43E" w14:textId="77777777" w:rsidR="008B17B5" w:rsidRDefault="00000000">
            <w:r>
              <w:rPr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CED613" w14:textId="77777777" w:rsidR="008B17B5" w:rsidRDefault="00000000">
            <w:r>
              <w:rPr>
                <w:sz w:val="20"/>
              </w:rPr>
              <w:t>Higher residual baseline contribution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F771CA" w14:textId="77777777" w:rsidR="008B17B5" w:rsidRDefault="00000000">
            <w:r>
              <w:rPr>
                <w:sz w:val="20"/>
              </w:rPr>
              <w:t>Document explicitly as residual; do not over-claim incremental coverage.</w:t>
            </w:r>
          </w:p>
        </w:tc>
      </w:tr>
      <w:tr w:rsidR="008B17B5" w14:paraId="5E72CCD5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AF42286" w14:textId="77777777" w:rsidR="008B17B5" w:rsidRDefault="00000000">
            <w:r>
              <w:rPr>
                <w:b/>
                <w:sz w:val="20"/>
              </w:rPr>
              <w:t>Saturation curves do not extrapolate well outside observed spend ranges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72DD4226" w14:textId="77777777" w:rsidR="008B17B5" w:rsidRDefault="00000000">
            <w:r>
              <w:rPr>
                <w:sz w:val="20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D3F92FC" w14:textId="77777777" w:rsidR="008B17B5" w:rsidRDefault="00000000">
            <w:r>
              <w:rPr>
                <w:sz w:val="20"/>
              </w:rPr>
              <w:t>Misleading scenario recommendations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7AF685AA" w14:textId="77777777" w:rsidR="008B17B5" w:rsidRDefault="00000000">
            <w:r>
              <w:rPr>
                <w:sz w:val="20"/>
              </w:rPr>
              <w:t>Restrict spend-move recommendations to within historical ranges; flag extrapolation regions on saturation charts.</w:t>
            </w:r>
          </w:p>
        </w:tc>
      </w:tr>
      <w:tr w:rsidR="008B17B5" w14:paraId="15DF0B6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28EDCE" w14:textId="77777777" w:rsidR="008B17B5" w:rsidRDefault="00000000">
            <w:r>
              <w:rPr>
                <w:b/>
                <w:sz w:val="20"/>
              </w:rPr>
              <w:t>Model output diverges from Kikoff's internal MMM or Northbeam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37DD4A" w14:textId="77777777" w:rsidR="008B17B5" w:rsidRDefault="00000000">
            <w:r>
              <w:rPr>
                <w:sz w:val="20"/>
              </w:rPr>
              <w:t>Low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31377A" w14:textId="77777777" w:rsidR="008B17B5" w:rsidRDefault="00000000">
            <w:r>
              <w:rPr>
                <w:sz w:val="20"/>
              </w:rPr>
              <w:t>Stakeholder confusion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2A03C1" w14:textId="77777777" w:rsidR="008B17B5" w:rsidRDefault="00000000">
            <w:r>
              <w:rPr>
                <w:sz w:val="20"/>
              </w:rPr>
              <w:t>Frame the model as one of three triangulated signals; reconcile divergence transparently rather than reconcile to either external source by default.</w:t>
            </w:r>
          </w:p>
        </w:tc>
      </w:tr>
      <w:tr w:rsidR="008B17B5" w14:paraId="32746C5E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8C58C72" w14:textId="77777777" w:rsidR="008B17B5" w:rsidRDefault="00000000">
            <w:r>
              <w:rPr>
                <w:b/>
                <w:sz w:val="20"/>
              </w:rPr>
              <w:t>Timeline compression in final three weeks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DA9A7F6" w14:textId="77777777" w:rsidR="008B17B5" w:rsidRDefault="00000000">
            <w:r>
              <w:rPr>
                <w:sz w:val="20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309D6B33" w14:textId="77777777" w:rsidR="008B17B5" w:rsidRDefault="00000000">
            <w:r>
              <w:rPr>
                <w:sz w:val="20"/>
              </w:rPr>
              <w:t>Reduced polish on final deliverables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22264D69" w14:textId="77777777" w:rsidR="008B17B5" w:rsidRDefault="00000000">
            <w:r>
              <w:rPr>
                <w:sz w:val="20"/>
              </w:rPr>
              <w:t>Weekly client check-ins; clear gate definitions; escalate blockers immediately.</w:t>
            </w:r>
          </w:p>
        </w:tc>
      </w:tr>
    </w:tbl>
    <w:p w14:paraId="376E26F8" w14:textId="77777777" w:rsidR="008B17B5" w:rsidRDefault="00000000">
      <w:pPr>
        <w:pStyle w:val="Heading1"/>
      </w:pPr>
      <w:r>
        <w:rPr>
          <w:color w:val="1F3A68"/>
        </w:rPr>
        <w:t>12. Approvals</w:t>
      </w:r>
    </w:p>
    <w:p w14:paraId="17D9C340" w14:textId="77777777" w:rsidR="008B17B5" w:rsidRDefault="00000000">
      <w:r>
        <w:t>By signing below, the parties acknowledge this charter as the working agreement governing scope, success criteria, and deliverables for the engagement.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2551"/>
        <w:gridCol w:w="1417"/>
      </w:tblGrid>
      <w:tr w:rsidR="008B17B5" w14:paraId="5955999A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82428D9" w14:textId="77777777" w:rsidR="008B17B5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E3FC1F5" w14:textId="77777777" w:rsidR="008B17B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F00A587" w14:textId="77777777" w:rsidR="008B17B5" w:rsidRDefault="00000000"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6DAF77F" w14:textId="77777777" w:rsidR="008B17B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</w:tr>
      <w:tr w:rsidR="008B17B5" w14:paraId="62D81DA9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F29A50" w14:textId="77777777" w:rsidR="008B17B5" w:rsidRDefault="00000000">
            <w:r>
              <w:rPr>
                <w:b/>
                <w:sz w:val="20"/>
              </w:rPr>
              <w:t>Client Sponsor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16C215" w14:textId="77777777" w:rsidR="008B17B5" w:rsidRDefault="00000000">
            <w:r>
              <w:rPr>
                <w:sz w:val="20"/>
              </w:rPr>
              <w:t>Abheek Sinha, Kikoff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20835B" w14:textId="77777777" w:rsidR="008B17B5" w:rsidRDefault="008B17B5"/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5C3131" w14:textId="77777777" w:rsidR="008B17B5" w:rsidRDefault="008B17B5"/>
        </w:tc>
      </w:tr>
      <w:tr w:rsidR="008B17B5" w14:paraId="4B2B5619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17F6B5B6" w14:textId="77777777" w:rsidR="008B17B5" w:rsidRDefault="00000000">
            <w:r>
              <w:rPr>
                <w:b/>
                <w:sz w:val="20"/>
              </w:rPr>
              <w:t>Faculty Supervisor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EA5CE5F" w14:textId="77777777" w:rsidR="008B17B5" w:rsidRDefault="00000000">
            <w:r>
              <w:rPr>
                <w:sz w:val="20"/>
              </w:rPr>
              <w:t>Keith, UC San Diego Rady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69EB08BF" w14:textId="77777777" w:rsidR="008B17B5" w:rsidRDefault="008B17B5"/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8"/>
            <w:vAlign w:val="center"/>
          </w:tcPr>
          <w:p w14:paraId="78BB7959" w14:textId="77777777" w:rsidR="008B17B5" w:rsidRDefault="008B17B5"/>
        </w:tc>
      </w:tr>
      <w:tr w:rsidR="008B17B5" w14:paraId="405A58A5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92E635" w14:textId="77777777" w:rsidR="008B17B5" w:rsidRDefault="00000000">
            <w:r>
              <w:rPr>
                <w:b/>
                <w:sz w:val="20"/>
              </w:rPr>
              <w:t>Team Lead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965307" w14:textId="77777777" w:rsidR="008B17B5" w:rsidRDefault="00000000">
            <w:r>
              <w:rPr>
                <w:sz w:val="20"/>
              </w:rPr>
              <w:t>Yash Tiwari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FBE9DE" w14:textId="6A807EF6" w:rsidR="008B17B5" w:rsidRDefault="00F672E5">
            <w:r>
              <w:t>Yash Tiwari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47B794" w14:textId="4865790D" w:rsidR="008B17B5" w:rsidRDefault="00F672E5">
            <w:r>
              <w:t>05/16/2026</w:t>
            </w:r>
          </w:p>
        </w:tc>
      </w:tr>
    </w:tbl>
    <w:p w14:paraId="65078E67" w14:textId="77777777" w:rsidR="00A81831" w:rsidRDefault="00A81831"/>
    <w:sectPr w:rsidR="00A81831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070E9" w14:textId="77777777" w:rsidR="00A81831" w:rsidRDefault="00A81831">
      <w:pPr>
        <w:spacing w:after="0" w:line="240" w:lineRule="auto"/>
      </w:pPr>
      <w:r>
        <w:separator/>
      </w:r>
    </w:p>
  </w:endnote>
  <w:endnote w:type="continuationSeparator" w:id="0">
    <w:p w14:paraId="70BA57F7" w14:textId="77777777" w:rsidR="00A81831" w:rsidRDefault="00A81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9FC6" w14:textId="77777777" w:rsidR="008B17B5" w:rsidRDefault="00000000">
    <w:pPr>
      <w:pStyle w:val="Footer"/>
      <w:jc w:val="center"/>
    </w:pPr>
    <w:proofErr w:type="spellStart"/>
    <w:r>
      <w:rPr>
        <w:color w:val="555555"/>
        <w:sz w:val="16"/>
      </w:rPr>
      <w:t>Kikoff</w:t>
    </w:r>
    <w:proofErr w:type="spellEnd"/>
    <w:r>
      <w:rPr>
        <w:color w:val="555555"/>
        <w:sz w:val="16"/>
      </w:rPr>
      <w:t xml:space="preserve"> MMM Capstone — Project Charter — v1.0 — May 16,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C5AB" w14:textId="77777777" w:rsidR="00A81831" w:rsidRDefault="00A81831">
      <w:pPr>
        <w:spacing w:after="0" w:line="240" w:lineRule="auto"/>
      </w:pPr>
      <w:r>
        <w:separator/>
      </w:r>
    </w:p>
  </w:footnote>
  <w:footnote w:type="continuationSeparator" w:id="0">
    <w:p w14:paraId="630ADACF" w14:textId="77777777" w:rsidR="00A81831" w:rsidRDefault="00A81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282249">
    <w:abstractNumId w:val="8"/>
  </w:num>
  <w:num w:numId="2" w16cid:durableId="1443917654">
    <w:abstractNumId w:val="6"/>
  </w:num>
  <w:num w:numId="3" w16cid:durableId="1928492723">
    <w:abstractNumId w:val="5"/>
  </w:num>
  <w:num w:numId="4" w16cid:durableId="2045396580">
    <w:abstractNumId w:val="4"/>
  </w:num>
  <w:num w:numId="5" w16cid:durableId="903610622">
    <w:abstractNumId w:val="7"/>
  </w:num>
  <w:num w:numId="6" w16cid:durableId="889652209">
    <w:abstractNumId w:val="3"/>
  </w:num>
  <w:num w:numId="7" w16cid:durableId="1104613752">
    <w:abstractNumId w:val="2"/>
  </w:num>
  <w:num w:numId="8" w16cid:durableId="783578255">
    <w:abstractNumId w:val="1"/>
  </w:num>
  <w:num w:numId="9" w16cid:durableId="187075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55"/>
    <w:rsid w:val="00034616"/>
    <w:rsid w:val="0006063C"/>
    <w:rsid w:val="0015074B"/>
    <w:rsid w:val="0029639D"/>
    <w:rsid w:val="00326F90"/>
    <w:rsid w:val="008B17B5"/>
    <w:rsid w:val="00A81831"/>
    <w:rsid w:val="00AA1D8D"/>
    <w:rsid w:val="00B47730"/>
    <w:rsid w:val="00CB0664"/>
    <w:rsid w:val="00F67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E1355"/>
  <w14:defaultImageDpi w14:val="300"/>
  <w15:docId w15:val="{E4528196-9125-8E4F-83E6-7EAA2B66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Tiwari</cp:lastModifiedBy>
  <cp:revision>2</cp:revision>
  <dcterms:created xsi:type="dcterms:W3CDTF">2013-12-23T23:15:00Z</dcterms:created>
  <dcterms:modified xsi:type="dcterms:W3CDTF">2026-05-16T20:17:00Z</dcterms:modified>
  <cp:category/>
</cp:coreProperties>
</file>