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EE5B2" w14:textId="77777777" w:rsidR="00CF6C0B" w:rsidRDefault="00000000">
      <w:pPr>
        <w:spacing w:after="120"/>
        <w:jc w:val="center"/>
      </w:pPr>
      <w:r>
        <w:rPr>
          <w:b/>
          <w:bCs/>
          <w:sz w:val="32"/>
          <w:szCs w:val="32"/>
        </w:rPr>
        <w:t>Appendix C: Glossary of Terms</w:t>
      </w:r>
    </w:p>
    <w:p w14:paraId="5B3EBF4B" w14:textId="77777777" w:rsidR="00CF6C0B" w:rsidRDefault="00000000">
      <w:pPr>
        <w:spacing w:after="40"/>
        <w:jc w:val="center"/>
        <w:rPr>
          <w:i/>
          <w:iCs/>
        </w:rPr>
      </w:pPr>
      <w:r>
        <w:rPr>
          <w:b/>
          <w:bCs/>
        </w:rPr>
        <w:t>Praxis:</w:t>
      </w:r>
      <w:r>
        <w:t xml:space="preserve"> </w:t>
      </w:r>
      <w:r>
        <w:rPr>
          <w:i/>
          <w:iCs/>
        </w:rPr>
        <w:t>The Impact of Project Management and Risk Management on EdTech Implementation Success in Higher Education Institutions: A Path Analysis and Risk Prioritization Approach</w:t>
      </w:r>
    </w:p>
    <w:p w14:paraId="498879EA" w14:textId="77777777" w:rsidR="001D7F8D" w:rsidRDefault="001D7F8D">
      <w:pPr>
        <w:spacing w:after="40"/>
        <w:jc w:val="center"/>
      </w:pPr>
    </w:p>
    <w:p w14:paraId="113D942A" w14:textId="77777777" w:rsidR="00CF6C0B" w:rsidRDefault="00000000">
      <w:pPr>
        <w:spacing w:after="40"/>
        <w:jc w:val="center"/>
      </w:pPr>
      <w:r>
        <w:rPr>
          <w:b/>
          <w:bCs/>
        </w:rPr>
        <w:t>Author:</w:t>
      </w:r>
      <w:r>
        <w:t xml:space="preserve"> Rajni Ekta Soharu · The George Washington University, School of Engineering and Applied Science</w:t>
      </w:r>
    </w:p>
    <w:p w14:paraId="5E658723" w14:textId="77777777" w:rsidR="001D7F8D" w:rsidRDefault="001D7F8D">
      <w:pPr>
        <w:spacing w:after="40"/>
        <w:jc w:val="center"/>
      </w:pPr>
    </w:p>
    <w:p w14:paraId="0269C2AA" w14:textId="77777777" w:rsidR="00CF6C0B" w:rsidRDefault="00000000">
      <w:pPr>
        <w:spacing w:after="160" w:line="276" w:lineRule="auto"/>
        <w:jc w:val="both"/>
      </w:pPr>
      <w:r>
        <w:t>This glossary defines the framework, project- and risk-management, and statistical/structural-equation-modeling terms used throughout the praxis. Definitions are written for the study's specific usage; where a term has a broader disciplinary meaning, the entry notes how the term is applied here. Abbreviations used in the document appear in parentheses after each term.</w:t>
      </w:r>
    </w:p>
    <w:p w14:paraId="2E5D9819" w14:textId="77777777" w:rsidR="00CF6C0B" w:rsidRDefault="00000000">
      <w:pPr>
        <w:pBdr>
          <w:bottom w:val="single" w:sz="4" w:space="2" w:color="888888"/>
        </w:pBdr>
        <w:spacing w:before="200" w:after="80"/>
      </w:pPr>
      <w:r>
        <w:rPr>
          <w:b/>
          <w:bCs/>
          <w:sz w:val="26"/>
          <w:szCs w:val="26"/>
        </w:rPr>
        <w:t>A</w:t>
      </w:r>
    </w:p>
    <w:p w14:paraId="57A0D498" w14:textId="77777777" w:rsidR="00CF6C0B" w:rsidRDefault="00000000">
      <w:pPr>
        <w:spacing w:after="120" w:line="276" w:lineRule="auto"/>
        <w:ind w:left="360" w:hanging="360"/>
      </w:pPr>
      <w:r>
        <w:rPr>
          <w:b/>
          <w:bCs/>
        </w:rPr>
        <w:t>Adjusted Risk Score (ARS).</w:t>
      </w:r>
      <w:r>
        <w:t xml:space="preserve"> The risk-prioritization metric developed in this study, computed as </w:t>
      </w:r>
      <w:r>
        <w:rPr>
          <w:b/>
          <w:bCs/>
        </w:rPr>
        <w:t>ARS = P × I × β</w:t>
      </w:r>
      <w:r>
        <w:t xml:space="preserve">, where </w:t>
      </w:r>
      <w:r>
        <w:rPr>
          <w:i/>
          <w:iCs/>
        </w:rPr>
        <w:t>P</w:t>
      </w:r>
      <w:r>
        <w:t xml:space="preserve"> is a risk's probability rating, </w:t>
      </w:r>
      <w:r>
        <w:rPr>
          <w:i/>
          <w:iCs/>
        </w:rPr>
        <w:t>I</w:t>
      </w:r>
      <w:r>
        <w:t xml:space="preserve"> is its impact rating, and </w:t>
      </w:r>
      <w:r>
        <w:rPr>
          <w:i/>
          <w:iCs/>
        </w:rPr>
        <w:t>β</w:t>
      </w:r>
      <w:r>
        <w:t xml:space="preserve"> is the empirically estimated RM → IS standardized path coefficient. The coefficient weights each project's probability-by-impact score so that prioritization reflects the measured importance of risk management rather than an arbitrary scaling choice. In the analytic sample the ARS ranged up to a maximum of 7.6.</w:t>
      </w:r>
    </w:p>
    <w:p w14:paraId="5008B012" w14:textId="77777777" w:rsidR="00CF6C0B" w:rsidRDefault="00000000">
      <w:pPr>
        <w:spacing w:after="120" w:line="276" w:lineRule="auto"/>
        <w:ind w:left="360" w:hanging="360"/>
      </w:pPr>
      <w:r>
        <w:rPr>
          <w:b/>
          <w:bCs/>
        </w:rPr>
        <w:t>Archival project.</w:t>
      </w:r>
      <w:r>
        <w:t xml:space="preserve"> A completed EdTech implementation whose documented characteristics were scored after the fact from existing institutional records, rather than observed prospectively. The study draws on N = 197 such projects.</w:t>
      </w:r>
    </w:p>
    <w:p w14:paraId="78578F1B" w14:textId="77777777" w:rsidR="00CF6C0B" w:rsidRDefault="00000000">
      <w:pPr>
        <w:spacing w:after="120" w:line="276" w:lineRule="auto"/>
        <w:ind w:left="360" w:hanging="360"/>
      </w:pPr>
      <w:r>
        <w:rPr>
          <w:b/>
          <w:bCs/>
        </w:rPr>
        <w:t>Average Variance Extracted (AVE).</w:t>
      </w:r>
      <w:r>
        <w:t xml:space="preserve"> The mean proportion of indicator variance captured by a latent construct; the principal measure of convergent validity. Values of 0.50 or above are conventionally adequate. In this study all three constructs returned AVE below 0.50; the constructs were retained under the Fornell-Larcker discriminant-validity caveat because discriminant validity held.</w:t>
      </w:r>
    </w:p>
    <w:p w14:paraId="521A0694" w14:textId="77777777" w:rsidR="00CF6C0B" w:rsidRDefault="00000000">
      <w:pPr>
        <w:pBdr>
          <w:bottom w:val="single" w:sz="4" w:space="2" w:color="888888"/>
        </w:pBdr>
        <w:spacing w:before="200" w:after="80"/>
      </w:pPr>
      <w:r>
        <w:rPr>
          <w:b/>
          <w:bCs/>
          <w:sz w:val="26"/>
          <w:szCs w:val="26"/>
        </w:rPr>
        <w:t>B</w:t>
      </w:r>
    </w:p>
    <w:p w14:paraId="4B7B3AB3" w14:textId="77777777" w:rsidR="00CF6C0B" w:rsidRDefault="00000000">
      <w:pPr>
        <w:spacing w:after="120" w:line="276" w:lineRule="auto"/>
        <w:ind w:left="360" w:hanging="360"/>
      </w:pPr>
      <w:r>
        <w:rPr>
          <w:b/>
          <w:bCs/>
        </w:rPr>
        <w:t>Bias-Corrected and Accelerated (</w:t>
      </w:r>
      <w:proofErr w:type="spellStart"/>
      <w:r>
        <w:rPr>
          <w:b/>
          <w:bCs/>
        </w:rPr>
        <w:t>BCa</w:t>
      </w:r>
      <w:proofErr w:type="spellEnd"/>
      <w:r>
        <w:rPr>
          <w:b/>
          <w:bCs/>
        </w:rPr>
        <w:t>) Bootstrap.</w:t>
      </w:r>
      <w:r>
        <w:t xml:space="preserve"> A nonparametric resampling procedure for building confidence intervals that corrects for both bias and skewness in the bootstrap sampling distribution. The study applied a 5,000-resample </w:t>
      </w:r>
      <w:proofErr w:type="spellStart"/>
      <w:r>
        <w:t>BCa</w:t>
      </w:r>
      <w:proofErr w:type="spellEnd"/>
      <w:r>
        <w:t xml:space="preserve"> bootstrap (in Python) to test the PM → RM → IS indirect effect, yielding a 95% confidence interval of [0.0287, 0.1484].</w:t>
      </w:r>
    </w:p>
    <w:p w14:paraId="5187C42F" w14:textId="77777777" w:rsidR="00CF6C0B" w:rsidRDefault="00000000">
      <w:pPr>
        <w:spacing w:after="120" w:line="276" w:lineRule="auto"/>
        <w:ind w:left="360" w:hanging="360"/>
      </w:pPr>
      <w:r>
        <w:rPr>
          <w:b/>
          <w:bCs/>
        </w:rPr>
        <w:t>Bootstrap resampling.</w:t>
      </w:r>
      <w:r>
        <w:t xml:space="preserve"> Repeated sampling with replacement from the observed data to approximate the sampling distribution of a statistic, here, the indirect (mediated) effect, without assuming normality.</w:t>
      </w:r>
    </w:p>
    <w:p w14:paraId="607E3323" w14:textId="77777777" w:rsidR="00CF6C0B" w:rsidRDefault="00000000">
      <w:pPr>
        <w:pBdr>
          <w:bottom w:val="single" w:sz="4" w:space="2" w:color="888888"/>
        </w:pBdr>
        <w:spacing w:before="200" w:after="80"/>
      </w:pPr>
      <w:r>
        <w:rPr>
          <w:b/>
          <w:bCs/>
          <w:sz w:val="26"/>
          <w:szCs w:val="26"/>
        </w:rPr>
        <w:t>C</w:t>
      </w:r>
    </w:p>
    <w:p w14:paraId="647CAD6A" w14:textId="77777777" w:rsidR="00CF6C0B" w:rsidRDefault="00000000">
      <w:pPr>
        <w:spacing w:after="120" w:line="276" w:lineRule="auto"/>
        <w:ind w:left="360" w:hanging="360"/>
      </w:pPr>
      <w:r>
        <w:rPr>
          <w:b/>
          <w:bCs/>
        </w:rPr>
        <w:lastRenderedPageBreak/>
        <w:t>Composite-based path estimation.</w:t>
      </w:r>
      <w:r>
        <w:t xml:space="preserve"> The structural-estimation strategy used for the path model: each construct is represented by an equal-weight composite of its indicators, and the structural paths are estimated by standardized ordinary least squares (OLS) regression on those composites. This is distinct from the covariance-based CFA used for measurement validation.</w:t>
      </w:r>
    </w:p>
    <w:p w14:paraId="1E15A456" w14:textId="77777777" w:rsidR="00CF6C0B" w:rsidRDefault="00000000">
      <w:pPr>
        <w:spacing w:after="120" w:line="276" w:lineRule="auto"/>
        <w:ind w:left="360" w:hanging="360"/>
      </w:pPr>
      <w:r>
        <w:rPr>
          <w:b/>
          <w:bCs/>
        </w:rPr>
        <w:t>Composite score.</w:t>
      </w:r>
      <w:r>
        <w:t xml:space="preserve"> An equal-weight aggregate of a construct's reflective indicators, used as that construct's value in the standardized-OLS structural estimation.</w:t>
      </w:r>
    </w:p>
    <w:p w14:paraId="3F4E2F24" w14:textId="77777777" w:rsidR="00CF6C0B" w:rsidRDefault="00000000">
      <w:pPr>
        <w:spacing w:after="120" w:line="276" w:lineRule="auto"/>
        <w:ind w:left="360" w:hanging="360"/>
      </w:pPr>
      <w:r>
        <w:rPr>
          <w:b/>
          <w:bCs/>
        </w:rPr>
        <w:t>Composite Reliability (CR).</w:t>
      </w:r>
      <w:r>
        <w:t xml:space="preserve"> An internal-consistency reliability measure derived from a construct's factor loadings; like Cronbach's alpha but not assuming equal loadings. Values of roughly 0.70 or above indicate adequate reliability.</w:t>
      </w:r>
    </w:p>
    <w:p w14:paraId="35733EE3" w14:textId="77777777" w:rsidR="00CF6C0B" w:rsidRDefault="00000000">
      <w:pPr>
        <w:spacing w:after="120" w:line="276" w:lineRule="auto"/>
        <w:ind w:left="360" w:hanging="360"/>
      </w:pPr>
      <w:r>
        <w:rPr>
          <w:b/>
          <w:bCs/>
        </w:rPr>
        <w:t>Confidence Interval (CI).</w:t>
      </w:r>
      <w:r>
        <w:t xml:space="preserve"> A range, estimated from the data, </w:t>
      </w:r>
      <w:proofErr w:type="gramStart"/>
      <w:r>
        <w:t>expected</w:t>
      </w:r>
      <w:proofErr w:type="gramEnd"/>
      <w:r>
        <w:t xml:space="preserve"> to contain the true parameter value at a stated confidence level (95% here). For mediation, an interval that excludes zero supports a non-zero indirect effect.</w:t>
      </w:r>
    </w:p>
    <w:p w14:paraId="214056E5" w14:textId="77777777" w:rsidR="00CF6C0B" w:rsidRDefault="00000000">
      <w:pPr>
        <w:spacing w:after="120" w:line="276" w:lineRule="auto"/>
        <w:ind w:left="360" w:hanging="360"/>
      </w:pPr>
      <w:r>
        <w:rPr>
          <w:b/>
          <w:bCs/>
        </w:rPr>
        <w:t>Confirmatory Factor Analysis (CFA).</w:t>
      </w:r>
      <w:r>
        <w:t xml:space="preserve"> A covariance-based measurement procedure (estimated in IBM SPSS AMOS) that tests whether observed indicators load on their hypothesized latent constructs. In this study CFA validated the measurement model and produced factor correlations among the three latent factors; it did </w:t>
      </w:r>
      <w:r>
        <w:rPr>
          <w:b/>
          <w:bCs/>
        </w:rPr>
        <w:t>not</w:t>
      </w:r>
      <w:r>
        <w:t xml:space="preserve"> estimate the directed structural paths.</w:t>
      </w:r>
    </w:p>
    <w:p w14:paraId="3C524D28" w14:textId="77777777" w:rsidR="00CF6C0B" w:rsidRDefault="00000000">
      <w:pPr>
        <w:spacing w:after="120" w:line="276" w:lineRule="auto"/>
        <w:ind w:left="360" w:hanging="360"/>
      </w:pPr>
      <w:r>
        <w:rPr>
          <w:b/>
          <w:bCs/>
        </w:rPr>
        <w:t>Convergent validity.</w:t>
      </w:r>
      <w:r>
        <w:t xml:space="preserve"> The degree to which a construct's reflective indicators share variance, evidenced primarily by the AVE.</w:t>
      </w:r>
    </w:p>
    <w:p w14:paraId="3C66D9B0" w14:textId="77777777" w:rsidR="00CF6C0B" w:rsidRDefault="00000000">
      <w:pPr>
        <w:spacing w:after="120" w:line="276" w:lineRule="auto"/>
        <w:ind w:left="360" w:hanging="360"/>
      </w:pPr>
      <w:r>
        <w:rPr>
          <w:b/>
          <w:bCs/>
        </w:rPr>
        <w:t>Covariance-Based Structural Equation Modeling (CB-SEM).</w:t>
      </w:r>
      <w:r>
        <w:t xml:space="preserve"> A family of SEM methods that fit a model by reproducing the observed covariance matrix; used here, via AMOS, for measurement-model (CFA) validation. Contrast with composite-based estimation, used for the structural paths.</w:t>
      </w:r>
    </w:p>
    <w:p w14:paraId="50BA0CD4" w14:textId="77777777" w:rsidR="00CF6C0B" w:rsidRDefault="00000000">
      <w:pPr>
        <w:spacing w:after="120" w:line="276" w:lineRule="auto"/>
        <w:ind w:left="360" w:hanging="360"/>
      </w:pPr>
      <w:r>
        <w:rPr>
          <w:b/>
          <w:bCs/>
        </w:rPr>
        <w:t>Cronbach's alpha (α).</w:t>
      </w:r>
      <w:r>
        <w:t xml:space="preserve"> A coefficient of internal-consistency reliability for a set of indicators, based on their average inter-item correlation; values near 0.70 or above are conventionally acceptable. (Note: the symbol α is also used for the significance level, see </w:t>
      </w:r>
      <w:r>
        <w:rPr>
          <w:i/>
          <w:iCs/>
        </w:rPr>
        <w:t>Significance level</w:t>
      </w:r>
      <w:r>
        <w:t>.)</w:t>
      </w:r>
    </w:p>
    <w:p w14:paraId="0C8AFD55" w14:textId="77777777" w:rsidR="00CF6C0B" w:rsidRDefault="00000000">
      <w:pPr>
        <w:pBdr>
          <w:bottom w:val="single" w:sz="4" w:space="2" w:color="888888"/>
        </w:pBdr>
        <w:spacing w:before="200" w:after="80"/>
      </w:pPr>
      <w:r>
        <w:rPr>
          <w:b/>
          <w:bCs/>
          <w:sz w:val="26"/>
          <w:szCs w:val="26"/>
        </w:rPr>
        <w:t>D</w:t>
      </w:r>
    </w:p>
    <w:p w14:paraId="4B2550F6" w14:textId="77777777" w:rsidR="00CF6C0B" w:rsidRDefault="00000000">
      <w:pPr>
        <w:spacing w:after="120" w:line="276" w:lineRule="auto"/>
        <w:ind w:left="360" w:hanging="360"/>
      </w:pPr>
      <w:r>
        <w:rPr>
          <w:b/>
          <w:bCs/>
        </w:rPr>
        <w:t>Direct effect.</w:t>
      </w:r>
      <w:r>
        <w:t xml:space="preserve"> The portion of one construct's influence on </w:t>
      </w:r>
      <w:proofErr w:type="gramStart"/>
      <w:r>
        <w:t>another that</w:t>
      </w:r>
      <w:proofErr w:type="gramEnd"/>
      <w:r>
        <w:t xml:space="preserve"> is not transmitted through a mediator. PM → IS </w:t>
      </w:r>
      <w:proofErr w:type="spellStart"/>
      <w:r>
        <w:t>is</w:t>
      </w:r>
      <w:proofErr w:type="spellEnd"/>
      <w:r>
        <w:t xml:space="preserve"> the direct effect of project management on implementation success, estimated at β = 0.143.</w:t>
      </w:r>
    </w:p>
    <w:p w14:paraId="719FD836" w14:textId="77777777" w:rsidR="00CF6C0B" w:rsidRDefault="00000000">
      <w:pPr>
        <w:spacing w:after="120" w:line="276" w:lineRule="auto"/>
        <w:ind w:left="360" w:hanging="360"/>
      </w:pPr>
      <w:r>
        <w:rPr>
          <w:b/>
          <w:bCs/>
        </w:rPr>
        <w:t>Discriminant validity.</w:t>
      </w:r>
      <w:r>
        <w:t xml:space="preserve"> The extent to which a construct is empirically distinct from the others, assessed here via the Fornell-Larcker criterion and the </w:t>
      </w:r>
      <w:proofErr w:type="spellStart"/>
      <w:r>
        <w:t>heterotrait-monotrait</w:t>
      </w:r>
      <w:proofErr w:type="spellEnd"/>
      <w:r>
        <w:t xml:space="preserve"> (HTMT) ratio.</w:t>
      </w:r>
    </w:p>
    <w:p w14:paraId="1C369092" w14:textId="77777777" w:rsidR="00CF6C0B" w:rsidRDefault="00000000">
      <w:pPr>
        <w:pBdr>
          <w:bottom w:val="single" w:sz="4" w:space="2" w:color="888888"/>
        </w:pBdr>
        <w:spacing w:before="200" w:after="80"/>
      </w:pPr>
      <w:r>
        <w:rPr>
          <w:b/>
          <w:bCs/>
          <w:sz w:val="26"/>
          <w:szCs w:val="26"/>
        </w:rPr>
        <w:t>E</w:t>
      </w:r>
    </w:p>
    <w:p w14:paraId="7454FBBD" w14:textId="77777777" w:rsidR="00CF6C0B" w:rsidRDefault="00000000">
      <w:pPr>
        <w:spacing w:after="120" w:line="276" w:lineRule="auto"/>
        <w:ind w:left="360" w:hanging="360"/>
      </w:pPr>
      <w:r>
        <w:rPr>
          <w:b/>
          <w:bCs/>
        </w:rPr>
        <w:lastRenderedPageBreak/>
        <w:t>EdTech (Educational Technology).</w:t>
      </w:r>
      <w:r>
        <w:t xml:space="preserve"> Hardware, software, platforms, and digital services adopted by institutions to support teaching, learning, and administration. The implementation of such technology is the study's domain.</w:t>
      </w:r>
    </w:p>
    <w:p w14:paraId="7B4A8588" w14:textId="77777777" w:rsidR="00CF6C0B" w:rsidRDefault="00000000">
      <w:pPr>
        <w:spacing w:after="120" w:line="276" w:lineRule="auto"/>
        <w:ind w:left="360" w:hanging="360"/>
      </w:pPr>
      <w:r>
        <w:rPr>
          <w:b/>
          <w:bCs/>
        </w:rPr>
        <w:t>EdTech Implementation Risk Intelligence System (EIRIS).</w:t>
      </w:r>
      <w:r>
        <w:t xml:space="preserve"> The decision-support framework developed in this praxis. EIRIS translates the empirically estimated RM → IS path coefficient into the Adjusted Risk Score and a tiered, data-driven risk-prioritization protocol for EdTech implementations in higher education.</w:t>
      </w:r>
    </w:p>
    <w:p w14:paraId="74F1A69E" w14:textId="77777777" w:rsidR="00CF6C0B" w:rsidRDefault="00000000">
      <w:pPr>
        <w:spacing w:after="120" w:line="276" w:lineRule="auto"/>
        <w:ind w:left="360" w:hanging="360"/>
      </w:pPr>
      <w:r>
        <w:rPr>
          <w:b/>
          <w:bCs/>
        </w:rPr>
        <w:t>Effect size (f²).</w:t>
      </w:r>
      <w:r>
        <w:t xml:space="preserve"> A standardized measure of a predictor's contribution to a model's explained variance, computed as f² = R² / (1 − R²) for the relevant change in R². Conventional benchmarks are 0.02 (small), 0.15 (medium), and 0.35 (large).</w:t>
      </w:r>
    </w:p>
    <w:p w14:paraId="7591F11C" w14:textId="77777777" w:rsidR="00CF6C0B" w:rsidRDefault="00000000">
      <w:pPr>
        <w:spacing w:after="120" w:line="276" w:lineRule="auto"/>
        <w:ind w:left="360" w:hanging="360"/>
      </w:pPr>
      <w:r>
        <w:rPr>
          <w:b/>
          <w:bCs/>
        </w:rPr>
        <w:t>Endogenous variable.</w:t>
      </w:r>
      <w:r>
        <w:t xml:space="preserve"> A construct that is predicted by one or more other constructs within the model (e.g., RM and IS in this study).</w:t>
      </w:r>
    </w:p>
    <w:p w14:paraId="7ADBA6CB" w14:textId="77777777" w:rsidR="00CF6C0B" w:rsidRDefault="00000000">
      <w:pPr>
        <w:spacing w:after="120" w:line="276" w:lineRule="auto"/>
        <w:ind w:left="360" w:hanging="360"/>
      </w:pPr>
      <w:r>
        <w:rPr>
          <w:b/>
          <w:bCs/>
        </w:rPr>
        <w:t>Exogenous variable.</w:t>
      </w:r>
      <w:r>
        <w:t xml:space="preserve"> A construct that acts only as a predictor and is not explained by other constructs in the model (e.g., PM in this study).</w:t>
      </w:r>
    </w:p>
    <w:p w14:paraId="579AC20A" w14:textId="77777777" w:rsidR="00CF6C0B" w:rsidRDefault="00000000">
      <w:pPr>
        <w:pBdr>
          <w:bottom w:val="single" w:sz="4" w:space="2" w:color="888888"/>
        </w:pBdr>
        <w:spacing w:before="200" w:after="80"/>
      </w:pPr>
      <w:r>
        <w:rPr>
          <w:b/>
          <w:bCs/>
          <w:sz w:val="26"/>
          <w:szCs w:val="26"/>
        </w:rPr>
        <w:t>F</w:t>
      </w:r>
    </w:p>
    <w:p w14:paraId="6712E30E" w14:textId="77777777" w:rsidR="00CF6C0B" w:rsidRDefault="00000000">
      <w:pPr>
        <w:spacing w:after="120" w:line="276" w:lineRule="auto"/>
        <w:ind w:left="360" w:hanging="360"/>
      </w:pPr>
      <w:r>
        <w:rPr>
          <w:b/>
          <w:bCs/>
        </w:rPr>
        <w:t>Factor loading (λ).</w:t>
      </w:r>
      <w:r>
        <w:t xml:space="preserve"> The estimated coefficient relating a reflective indicator to its latent construct; larger loadings indicate stronger indicator-construct association.</w:t>
      </w:r>
    </w:p>
    <w:p w14:paraId="5A9D7FBA" w14:textId="77777777" w:rsidR="00CF6C0B" w:rsidRDefault="00000000">
      <w:pPr>
        <w:spacing w:after="120" w:line="276" w:lineRule="auto"/>
        <w:ind w:left="360" w:hanging="360"/>
      </w:pPr>
      <w:r>
        <w:rPr>
          <w:b/>
          <w:bCs/>
        </w:rPr>
        <w:t>Fornell-Larcker criterion.</w:t>
      </w:r>
      <w:r>
        <w:t xml:space="preserve"> A discriminant-validity test holding that the square root of a construct's AVE should exceed its correlations with other constructs. Invoked here as the basis for retaining constructs despite AVE values below 0.50, since discriminant validity was satisfied.</w:t>
      </w:r>
    </w:p>
    <w:p w14:paraId="6739F522" w14:textId="77777777" w:rsidR="00CF6C0B" w:rsidRDefault="00000000">
      <w:pPr>
        <w:spacing w:after="120" w:line="276" w:lineRule="auto"/>
        <w:ind w:left="360" w:hanging="360"/>
      </w:pPr>
      <w:r>
        <w:rPr>
          <w:b/>
          <w:bCs/>
        </w:rPr>
        <w:t>Full mediation.</w:t>
      </w:r>
      <w:r>
        <w:t xml:space="preserve"> A mediation pattern in which the predictor's effect on the outcome operates entirely through the mediator, with no significant remaining direct effect. Contrast with </w:t>
      </w:r>
      <w:r>
        <w:rPr>
          <w:i/>
          <w:iCs/>
        </w:rPr>
        <w:t>partial mediation</w:t>
      </w:r>
      <w:r>
        <w:t>.</w:t>
      </w:r>
    </w:p>
    <w:p w14:paraId="357E0F24" w14:textId="77777777" w:rsidR="00CF6C0B" w:rsidRDefault="00000000">
      <w:pPr>
        <w:pBdr>
          <w:bottom w:val="single" w:sz="4" w:space="2" w:color="888888"/>
        </w:pBdr>
        <w:spacing w:before="200" w:after="80"/>
      </w:pPr>
      <w:r>
        <w:rPr>
          <w:b/>
          <w:bCs/>
          <w:sz w:val="26"/>
          <w:szCs w:val="26"/>
        </w:rPr>
        <w:t>H</w:t>
      </w:r>
    </w:p>
    <w:p w14:paraId="4017A03C" w14:textId="77777777" w:rsidR="00CF6C0B" w:rsidRDefault="00000000">
      <w:pPr>
        <w:spacing w:after="120" w:line="276" w:lineRule="auto"/>
        <w:ind w:left="360" w:hanging="360"/>
      </w:pPr>
      <w:proofErr w:type="spellStart"/>
      <w:r>
        <w:rPr>
          <w:b/>
          <w:bCs/>
        </w:rPr>
        <w:t>Heterotrait-Monotrait</w:t>
      </w:r>
      <w:proofErr w:type="spellEnd"/>
      <w:r>
        <w:rPr>
          <w:b/>
          <w:bCs/>
        </w:rPr>
        <w:t xml:space="preserve"> ratio (HTMT).</w:t>
      </w:r>
      <w:r>
        <w:t xml:space="preserve"> A discriminant-validity index based on the ratio of between-construct to within-construct indicator correlations; values below conventional thresholds (e.g., 0.85–0.90) support discriminant validity.</w:t>
      </w:r>
    </w:p>
    <w:p w14:paraId="656AF490" w14:textId="77777777" w:rsidR="00CF6C0B" w:rsidRDefault="00000000">
      <w:pPr>
        <w:spacing w:after="120" w:line="276" w:lineRule="auto"/>
        <w:ind w:left="360" w:hanging="360"/>
      </w:pPr>
      <w:r>
        <w:rPr>
          <w:b/>
          <w:bCs/>
        </w:rPr>
        <w:t>Higher Education Institution (HEI).</w:t>
      </w:r>
      <w:r>
        <w:t xml:space="preserve"> A college, university, or comparable post-secondary organization; the institutional setting for the EdTech implementations studied.</w:t>
      </w:r>
    </w:p>
    <w:p w14:paraId="53351F30" w14:textId="77777777" w:rsidR="00CF6C0B" w:rsidRDefault="00000000">
      <w:pPr>
        <w:spacing w:after="120" w:line="276" w:lineRule="auto"/>
        <w:ind w:left="360" w:hanging="360"/>
      </w:pPr>
      <w:r>
        <w:rPr>
          <w:b/>
          <w:bCs/>
        </w:rPr>
        <w:t>Hypothesis 1 (H1).</w:t>
      </w:r>
      <w:r>
        <w:t xml:space="preserve"> Project management quality has a significant positive effect on EdTech implementation success (the PM → IS path).</w:t>
      </w:r>
    </w:p>
    <w:p w14:paraId="37FA5D57" w14:textId="77777777" w:rsidR="00CF6C0B" w:rsidRDefault="00000000">
      <w:pPr>
        <w:spacing w:after="120" w:line="276" w:lineRule="auto"/>
        <w:ind w:left="360" w:hanging="360"/>
      </w:pPr>
      <w:r>
        <w:rPr>
          <w:b/>
          <w:bCs/>
        </w:rPr>
        <w:t>Hypothesis 2 (H2).</w:t>
      </w:r>
      <w:r>
        <w:t xml:space="preserve"> Risk management mediates the relationship between project management and implementation success (the PM → RM → IS pathway).</w:t>
      </w:r>
    </w:p>
    <w:p w14:paraId="1ADB9179" w14:textId="77777777" w:rsidR="00CF6C0B" w:rsidRDefault="00000000">
      <w:pPr>
        <w:spacing w:after="120" w:line="276" w:lineRule="auto"/>
        <w:ind w:left="360" w:hanging="360"/>
      </w:pPr>
      <w:r>
        <w:rPr>
          <w:b/>
          <w:bCs/>
        </w:rPr>
        <w:lastRenderedPageBreak/>
        <w:t>Hypothesis 3 (H3).</w:t>
      </w:r>
      <w:r>
        <w:t xml:space="preserve"> Risk management effectiveness has a significant positive effect on EdTech implementation success (the RM → IS path).</w:t>
      </w:r>
    </w:p>
    <w:p w14:paraId="746891A4" w14:textId="77777777" w:rsidR="00CF6C0B" w:rsidRDefault="00000000">
      <w:pPr>
        <w:pBdr>
          <w:bottom w:val="single" w:sz="4" w:space="2" w:color="888888"/>
        </w:pBdr>
        <w:spacing w:before="200" w:after="80"/>
      </w:pPr>
      <w:r>
        <w:rPr>
          <w:b/>
          <w:bCs/>
          <w:sz w:val="26"/>
          <w:szCs w:val="26"/>
        </w:rPr>
        <w:t>I</w:t>
      </w:r>
    </w:p>
    <w:p w14:paraId="6AA833BE" w14:textId="77777777" w:rsidR="00CF6C0B" w:rsidRDefault="00000000">
      <w:pPr>
        <w:spacing w:after="120" w:line="276" w:lineRule="auto"/>
        <w:ind w:left="360" w:hanging="360"/>
      </w:pPr>
      <w:r>
        <w:rPr>
          <w:b/>
          <w:bCs/>
        </w:rPr>
        <w:t>Implementation Success (IS).</w:t>
      </w:r>
      <w:r>
        <w:t xml:space="preserve"> The dependent (outcome) construct: the degree to which an EdTech implementation achieves its intended cost, schedule, adoption, and educational objectives. Measured through reflective indicators; the structural model explained R² = 0.189 of its </w:t>
      </w:r>
      <w:proofErr w:type="gramStart"/>
      <w:r>
        <w:t>variance</w:t>
      </w:r>
      <w:proofErr w:type="gramEnd"/>
      <w:r>
        <w:t>.</w:t>
      </w:r>
    </w:p>
    <w:p w14:paraId="51D5E0E8" w14:textId="77777777" w:rsidR="00CF6C0B" w:rsidRDefault="00000000">
      <w:pPr>
        <w:spacing w:after="120" w:line="276" w:lineRule="auto"/>
        <w:ind w:left="360" w:hanging="360"/>
      </w:pPr>
      <w:r>
        <w:rPr>
          <w:b/>
          <w:bCs/>
        </w:rPr>
        <w:t>Indirect effect.</w:t>
      </w:r>
      <w:r>
        <w:t xml:space="preserve"> The portion of a predictor's influence </w:t>
      </w:r>
      <w:proofErr w:type="gramStart"/>
      <w:r>
        <w:t>transmitted</w:t>
      </w:r>
      <w:proofErr w:type="gramEnd"/>
      <w:r>
        <w:t xml:space="preserve"> through a mediator. The PM → RM → IS indirect effect was estimated at β = 0.0848, 95% </w:t>
      </w:r>
      <w:proofErr w:type="spellStart"/>
      <w:r>
        <w:t>BCa</w:t>
      </w:r>
      <w:proofErr w:type="spellEnd"/>
      <w:r>
        <w:t xml:space="preserve"> CI [0.0287, 0.1484].</w:t>
      </w:r>
    </w:p>
    <w:p w14:paraId="1521F8CE" w14:textId="77777777" w:rsidR="00CF6C0B" w:rsidRDefault="00000000">
      <w:pPr>
        <w:spacing w:after="120" w:line="276" w:lineRule="auto"/>
        <w:ind w:left="360" w:hanging="360"/>
      </w:pPr>
      <w:r>
        <w:rPr>
          <w:b/>
          <w:bCs/>
        </w:rPr>
        <w:t>ISO 31000.</w:t>
      </w:r>
      <w:r>
        <w:t xml:space="preserve"> The international standard for risk-management principles and guidelines; referenced in defining the risk-management process phases (risk identification, analysis, and treatment) that inform the RM construct's indicators.</w:t>
      </w:r>
    </w:p>
    <w:p w14:paraId="5352A61D" w14:textId="77777777" w:rsidR="00CF6C0B" w:rsidRDefault="00000000">
      <w:pPr>
        <w:pBdr>
          <w:bottom w:val="single" w:sz="4" w:space="2" w:color="888888"/>
        </w:pBdr>
        <w:spacing w:before="200" w:after="80"/>
      </w:pPr>
      <w:r>
        <w:rPr>
          <w:b/>
          <w:bCs/>
          <w:sz w:val="26"/>
          <w:szCs w:val="26"/>
        </w:rPr>
        <w:t>L</w:t>
      </w:r>
    </w:p>
    <w:p w14:paraId="24BB97FB" w14:textId="77777777" w:rsidR="00CF6C0B" w:rsidRDefault="00000000">
      <w:pPr>
        <w:spacing w:after="120" w:line="276" w:lineRule="auto"/>
        <w:ind w:left="360" w:hanging="360"/>
      </w:pPr>
      <w:r>
        <w:rPr>
          <w:b/>
          <w:bCs/>
        </w:rPr>
        <w:t>Latent construct (latent variable).</w:t>
      </w:r>
      <w:r>
        <w:t xml:space="preserve"> An unobserved theoretical concept, here PM, RM, and IS, inferred from multiple observed indicators rather than measured directly.</w:t>
      </w:r>
    </w:p>
    <w:p w14:paraId="4BC22BCF" w14:textId="77777777" w:rsidR="00CF6C0B" w:rsidRDefault="00000000">
      <w:pPr>
        <w:spacing w:after="120" w:line="276" w:lineRule="auto"/>
        <w:ind w:left="360" w:hanging="360"/>
      </w:pPr>
      <w:r>
        <w:rPr>
          <w:b/>
          <w:bCs/>
        </w:rPr>
        <w:t>Likert scale.</w:t>
      </w:r>
      <w:r>
        <w:t xml:space="preserve"> An ordered rating scale (e.g., 1–5) used to score each indicator. Project characteristics were researcher-scored on such scales from the archival records.</w:t>
      </w:r>
    </w:p>
    <w:p w14:paraId="731783CE" w14:textId="77777777" w:rsidR="00CF6C0B" w:rsidRDefault="00000000">
      <w:pPr>
        <w:pBdr>
          <w:bottom w:val="single" w:sz="4" w:space="2" w:color="888888"/>
        </w:pBdr>
        <w:spacing w:before="200" w:after="80"/>
      </w:pPr>
      <w:r>
        <w:rPr>
          <w:b/>
          <w:bCs/>
          <w:sz w:val="26"/>
          <w:szCs w:val="26"/>
        </w:rPr>
        <w:t>M</w:t>
      </w:r>
    </w:p>
    <w:p w14:paraId="68286D58" w14:textId="77777777" w:rsidR="00CF6C0B" w:rsidRDefault="00000000">
      <w:pPr>
        <w:spacing w:after="120" w:line="276" w:lineRule="auto"/>
        <w:ind w:left="360" w:hanging="360"/>
      </w:pPr>
      <w:r>
        <w:rPr>
          <w:b/>
          <w:bCs/>
        </w:rPr>
        <w:t>Measurement model.</w:t>
      </w:r>
      <w:r>
        <w:t xml:space="preserve"> The portion of an SEM that specifies how observed indicators relate to their latent constructs; validated here through CFA.</w:t>
      </w:r>
    </w:p>
    <w:p w14:paraId="71F7BE61" w14:textId="77777777" w:rsidR="00CF6C0B" w:rsidRDefault="00000000">
      <w:pPr>
        <w:spacing w:after="120" w:line="276" w:lineRule="auto"/>
        <w:ind w:left="360" w:hanging="360"/>
      </w:pPr>
      <w:r>
        <w:rPr>
          <w:b/>
          <w:bCs/>
        </w:rPr>
        <w:t>Mediation.</w:t>
      </w:r>
      <w:r>
        <w:t xml:space="preserve"> A relationship in which a predictor influences an outcome partly or wholly through an intervening variable (the mediator). This study tests whether RM mediates the PM → IS relationship.</w:t>
      </w:r>
    </w:p>
    <w:p w14:paraId="484F8147" w14:textId="77777777" w:rsidR="00CF6C0B" w:rsidRDefault="00000000">
      <w:pPr>
        <w:spacing w:after="120" w:line="276" w:lineRule="auto"/>
        <w:ind w:left="360" w:hanging="360"/>
      </w:pPr>
      <w:r>
        <w:rPr>
          <w:b/>
          <w:bCs/>
        </w:rPr>
        <w:t>Model fit indices.</w:t>
      </w:r>
      <w:r>
        <w:t xml:space="preserve"> Statistics summarizing how well the measurement model reproduces the observed data, including CMIN/</w:t>
      </w:r>
      <w:proofErr w:type="spellStart"/>
      <w:r>
        <w:t>df</w:t>
      </w:r>
      <w:proofErr w:type="spellEnd"/>
      <w:r>
        <w:t xml:space="preserve"> (normed chi-square), RMSEA (root-mean-square error of approximation), CFI (comparative fit index), TLI (Tucker-</w:t>
      </w:r>
      <w:proofErr w:type="gramStart"/>
      <w:r>
        <w:t>Lewis</w:t>
      </w:r>
      <w:proofErr w:type="gramEnd"/>
      <w:r>
        <w:t xml:space="preserve"> index), and SRMR (standardized root-mean-square residual).</w:t>
      </w:r>
    </w:p>
    <w:p w14:paraId="2D1F6C51" w14:textId="77777777" w:rsidR="00CF6C0B" w:rsidRDefault="00000000">
      <w:pPr>
        <w:pBdr>
          <w:bottom w:val="single" w:sz="4" w:space="2" w:color="888888"/>
        </w:pBdr>
        <w:spacing w:before="200" w:after="80"/>
      </w:pPr>
      <w:r>
        <w:rPr>
          <w:b/>
          <w:bCs/>
          <w:sz w:val="26"/>
          <w:szCs w:val="26"/>
        </w:rPr>
        <w:t>O</w:t>
      </w:r>
    </w:p>
    <w:p w14:paraId="298B2C01" w14:textId="77777777" w:rsidR="00CF6C0B" w:rsidRDefault="00000000">
      <w:pPr>
        <w:spacing w:after="120" w:line="276" w:lineRule="auto"/>
        <w:ind w:left="360" w:hanging="360"/>
      </w:pPr>
      <w:r>
        <w:rPr>
          <w:b/>
          <w:bCs/>
        </w:rPr>
        <w:t>Ordinary Least Squares (OLS).</w:t>
      </w:r>
      <w:r>
        <w:t xml:space="preserve"> The regression-estimation method that minimizes the sum of squared residuals; applied to </w:t>
      </w:r>
      <w:proofErr w:type="gramStart"/>
      <w:r>
        <w:t>the standardized</w:t>
      </w:r>
      <w:proofErr w:type="gramEnd"/>
      <w:r>
        <w:t xml:space="preserve"> construct composites to estimate the structural paths.</w:t>
      </w:r>
    </w:p>
    <w:p w14:paraId="5B23EE44" w14:textId="77777777" w:rsidR="00CF6C0B" w:rsidRDefault="00000000">
      <w:pPr>
        <w:pBdr>
          <w:bottom w:val="single" w:sz="4" w:space="2" w:color="888888"/>
        </w:pBdr>
        <w:spacing w:before="200" w:after="80"/>
      </w:pPr>
      <w:r>
        <w:rPr>
          <w:b/>
          <w:bCs/>
          <w:sz w:val="26"/>
          <w:szCs w:val="26"/>
        </w:rPr>
        <w:t>P</w:t>
      </w:r>
    </w:p>
    <w:p w14:paraId="0C78809F" w14:textId="77777777" w:rsidR="00CF6C0B" w:rsidRDefault="00000000">
      <w:pPr>
        <w:spacing w:after="120" w:line="276" w:lineRule="auto"/>
        <w:ind w:left="360" w:hanging="360"/>
      </w:pPr>
      <w:r>
        <w:rPr>
          <w:b/>
          <w:bCs/>
        </w:rPr>
        <w:lastRenderedPageBreak/>
        <w:t>Partial mediation.</w:t>
      </w:r>
      <w:r>
        <w:t xml:space="preserve"> A mediation pattern in which a significant indirect effect coexists with a significant remaining direct effect. The study found partial mediation of the PM → IS relationship by RM.</w:t>
      </w:r>
    </w:p>
    <w:p w14:paraId="05EB060B" w14:textId="77777777" w:rsidR="00CF6C0B" w:rsidRDefault="00000000">
      <w:pPr>
        <w:spacing w:after="120" w:line="276" w:lineRule="auto"/>
        <w:ind w:left="360" w:hanging="360"/>
      </w:pPr>
      <w:r>
        <w:rPr>
          <w:b/>
          <w:bCs/>
        </w:rPr>
        <w:t>Path coefficient (β).</w:t>
      </w:r>
      <w:r>
        <w:t xml:space="preserve"> A standardized regression weight quantifying the strength and direction of a directed relationship between two constructs (e.g., PM → IS β = 0.143; RM → IS β = 0.380; PM → RM β = 0.227).</w:t>
      </w:r>
    </w:p>
    <w:p w14:paraId="245382E7" w14:textId="77777777" w:rsidR="00CF6C0B" w:rsidRDefault="00000000">
      <w:pPr>
        <w:spacing w:after="120" w:line="276" w:lineRule="auto"/>
        <w:ind w:left="360" w:hanging="360"/>
      </w:pPr>
      <w:r>
        <w:rPr>
          <w:b/>
          <w:bCs/>
        </w:rPr>
        <w:t>Partial Least Squares Structural Equation Modeling (PLS-SEM).</w:t>
      </w:r>
      <w:r>
        <w:t xml:space="preserve"> A composite-based, variance-maximizing approach to SEM; referenced as methodological context for the composite-based path estimation used here.</w:t>
      </w:r>
    </w:p>
    <w:p w14:paraId="32D1A685" w14:textId="77777777" w:rsidR="00CF6C0B" w:rsidRDefault="00000000">
      <w:pPr>
        <w:spacing w:after="120" w:line="276" w:lineRule="auto"/>
        <w:ind w:left="360" w:hanging="360"/>
      </w:pPr>
      <w:r>
        <w:rPr>
          <w:b/>
          <w:bCs/>
        </w:rPr>
        <w:t>Priority tiers.</w:t>
      </w:r>
      <w:r>
        <w:t xml:space="preserve"> The Critical / High / Moderate / Low classification into which projects are sorted by their Adjusted Risk Score. In the analytic sample the distribution was 0 Critical, 25 High, 105 Moderate, and 67 Low.</w:t>
      </w:r>
    </w:p>
    <w:p w14:paraId="2FEE048C" w14:textId="77777777" w:rsidR="00CF6C0B" w:rsidRDefault="00000000">
      <w:pPr>
        <w:spacing w:after="120" w:line="276" w:lineRule="auto"/>
        <w:ind w:left="360" w:hanging="360"/>
      </w:pPr>
      <w:r>
        <w:rPr>
          <w:b/>
          <w:bCs/>
        </w:rPr>
        <w:t>Probability-Impact (P × I) score.</w:t>
      </w:r>
      <w:r>
        <w:t xml:space="preserve"> The product of a risk's probability and impact ratings, forming the base score that the ARS then weights by the RM → IS coefficient.</w:t>
      </w:r>
    </w:p>
    <w:p w14:paraId="59314C98" w14:textId="77777777" w:rsidR="00CF6C0B" w:rsidRDefault="00000000">
      <w:pPr>
        <w:spacing w:after="120" w:line="276" w:lineRule="auto"/>
        <w:ind w:left="360" w:hanging="360"/>
      </w:pPr>
      <w:r>
        <w:rPr>
          <w:b/>
          <w:bCs/>
        </w:rPr>
        <w:t>Project Management (PM).</w:t>
      </w:r>
      <w:r>
        <w:t xml:space="preserve"> The first predictor construct: the application of structured methods to plan, execute, and control a project. Operationalized through reflective indicators for scope clarity, stakeholder engagement, and schedule management.</w:t>
      </w:r>
    </w:p>
    <w:p w14:paraId="535445F9" w14:textId="77777777" w:rsidR="00CF6C0B" w:rsidRDefault="00000000">
      <w:pPr>
        <w:spacing w:after="120" w:line="276" w:lineRule="auto"/>
        <w:ind w:left="360" w:hanging="360"/>
      </w:pPr>
      <w:r>
        <w:rPr>
          <w:b/>
          <w:bCs/>
        </w:rPr>
        <w:t>Project Management Body of Knowledge (PMBOK).</w:t>
      </w:r>
      <w:r>
        <w:t xml:space="preserve"> The Project Management Institute's standard reference defining project-management knowledge areas and processes; used in mapping the PM indicators to established practice.</w:t>
      </w:r>
    </w:p>
    <w:p w14:paraId="630D4ABB" w14:textId="77777777" w:rsidR="00CF6C0B" w:rsidRDefault="00000000">
      <w:pPr>
        <w:spacing w:after="120" w:line="276" w:lineRule="auto"/>
        <w:ind w:left="360" w:hanging="360"/>
      </w:pPr>
      <w:r>
        <w:rPr>
          <w:b/>
          <w:bCs/>
        </w:rPr>
        <w:t>Project Management Institute (PMI).</w:t>
      </w:r>
      <w:r>
        <w:t xml:space="preserve"> The professional body that publishes the PMBOK and related project-management standards.</w:t>
      </w:r>
    </w:p>
    <w:p w14:paraId="0FF8C9A5" w14:textId="77777777" w:rsidR="00CF6C0B" w:rsidRDefault="00000000">
      <w:pPr>
        <w:spacing w:after="120" w:line="276" w:lineRule="auto"/>
        <w:ind w:left="360" w:hanging="360"/>
      </w:pPr>
      <w:r>
        <w:rPr>
          <w:b/>
          <w:bCs/>
        </w:rPr>
        <w:t>p-value.</w:t>
      </w:r>
      <w:r>
        <w:t xml:space="preserve"> The probability of obtaining </w:t>
      </w:r>
      <w:proofErr w:type="gramStart"/>
      <w:r>
        <w:t>a test statistic</w:t>
      </w:r>
      <w:proofErr w:type="gramEnd"/>
      <w:r>
        <w:t xml:space="preserve"> at least as extreme as the observed one if the null hypothesis were true; values below the significance level indicate statistical significance (e.g., PM → IS p = .033; RM → IS p &lt; .001).</w:t>
      </w:r>
    </w:p>
    <w:p w14:paraId="565C6D05" w14:textId="77777777" w:rsidR="00CF6C0B" w:rsidRDefault="00000000">
      <w:pPr>
        <w:pBdr>
          <w:bottom w:val="single" w:sz="4" w:space="2" w:color="888888"/>
        </w:pBdr>
        <w:spacing w:before="200" w:after="80"/>
      </w:pPr>
      <w:r>
        <w:rPr>
          <w:b/>
          <w:bCs/>
          <w:sz w:val="26"/>
          <w:szCs w:val="26"/>
        </w:rPr>
        <w:t>R</w:t>
      </w:r>
    </w:p>
    <w:p w14:paraId="32CF4DDB" w14:textId="77777777" w:rsidR="00CF6C0B" w:rsidRDefault="00000000">
      <w:pPr>
        <w:spacing w:after="120" w:line="276" w:lineRule="auto"/>
        <w:ind w:left="360" w:hanging="360"/>
      </w:pPr>
      <w:r>
        <w:rPr>
          <w:b/>
          <w:bCs/>
        </w:rPr>
        <w:t>R² (coefficient of determination).</w:t>
      </w:r>
      <w:r>
        <w:t xml:space="preserve"> The proportion of an endogenous construct's variance explained by its predictors in the model; the structural model explained R² = 0.189 of implementation success.</w:t>
      </w:r>
    </w:p>
    <w:p w14:paraId="55EA99C2" w14:textId="77777777" w:rsidR="00CF6C0B" w:rsidRDefault="00000000">
      <w:pPr>
        <w:spacing w:after="120" w:line="276" w:lineRule="auto"/>
        <w:ind w:left="360" w:hanging="360"/>
      </w:pPr>
      <w:r>
        <w:rPr>
          <w:b/>
          <w:bCs/>
        </w:rPr>
        <w:t>Reflective indicator.</w:t>
      </w:r>
      <w:r>
        <w:t xml:space="preserve"> An observed measure treated as a manifestation (effect) of its latent construct, such that the construct is expected to explain the indicator's variance. The PM, RM, and IS constructs are each measured by reflective indicators.</w:t>
      </w:r>
    </w:p>
    <w:p w14:paraId="24198118" w14:textId="77777777" w:rsidR="00CF6C0B" w:rsidRDefault="00000000">
      <w:pPr>
        <w:spacing w:after="120" w:line="276" w:lineRule="auto"/>
        <w:ind w:left="360" w:hanging="360"/>
      </w:pPr>
      <w:r>
        <w:rPr>
          <w:b/>
          <w:bCs/>
        </w:rPr>
        <w:t>Risk assessment (risk analysis).</w:t>
      </w:r>
      <w:r>
        <w:t xml:space="preserve"> The RM process phase that evaluates identified risks by probability and impact; one of the reflective indicators of the RM construct.</w:t>
      </w:r>
    </w:p>
    <w:p w14:paraId="017A327D" w14:textId="77777777" w:rsidR="00CF6C0B" w:rsidRDefault="00000000">
      <w:pPr>
        <w:spacing w:after="120" w:line="276" w:lineRule="auto"/>
        <w:ind w:left="360" w:hanging="360"/>
      </w:pPr>
      <w:r>
        <w:rPr>
          <w:b/>
          <w:bCs/>
        </w:rPr>
        <w:lastRenderedPageBreak/>
        <w:t>Risk identification.</w:t>
      </w:r>
      <w:r>
        <w:t xml:space="preserve"> The RM process phase that surfaces potential threats to a project; a reflective indicator of the RM construct.</w:t>
      </w:r>
    </w:p>
    <w:p w14:paraId="47EFA4CD" w14:textId="77777777" w:rsidR="00CF6C0B" w:rsidRDefault="00000000">
      <w:pPr>
        <w:spacing w:after="120" w:line="276" w:lineRule="auto"/>
        <w:ind w:left="360" w:hanging="360"/>
      </w:pPr>
      <w:r>
        <w:rPr>
          <w:b/>
          <w:bCs/>
        </w:rPr>
        <w:t>Risk Management (RM).</w:t>
      </w:r>
      <w:r>
        <w:t xml:space="preserve"> The second predictor </w:t>
      </w:r>
      <w:proofErr w:type="gramStart"/>
      <w:r>
        <w:t>construct</w:t>
      </w:r>
      <w:proofErr w:type="gramEnd"/>
      <w:r>
        <w:t xml:space="preserve"> and the study's central mediator: the systematic identification, assessment, and mitigation of project risks. Operationalized through reflective indicators for risk identification, risk assessment, and mitigation planning; its effect on IS (β = 0.380) was the strongest direct effect in the model.</w:t>
      </w:r>
    </w:p>
    <w:p w14:paraId="4F921993" w14:textId="77777777" w:rsidR="00CF6C0B" w:rsidRDefault="00000000">
      <w:pPr>
        <w:spacing w:after="120" w:line="276" w:lineRule="auto"/>
        <w:ind w:left="360" w:hanging="360"/>
      </w:pPr>
      <w:r>
        <w:rPr>
          <w:b/>
          <w:bCs/>
        </w:rPr>
        <w:t>Risk mitigation (mitigation planning).</w:t>
      </w:r>
      <w:r>
        <w:t xml:space="preserve"> The RM process phase that develops responses to reduce the probability or impact of identified risks; a reflective indicator of the RM construct.</w:t>
      </w:r>
    </w:p>
    <w:p w14:paraId="32EBFE2F" w14:textId="77777777" w:rsidR="00CF6C0B" w:rsidRDefault="00000000">
      <w:pPr>
        <w:pBdr>
          <w:bottom w:val="single" w:sz="4" w:space="2" w:color="888888"/>
        </w:pBdr>
        <w:spacing w:before="200" w:after="80"/>
      </w:pPr>
      <w:r>
        <w:rPr>
          <w:b/>
          <w:bCs/>
          <w:sz w:val="26"/>
          <w:szCs w:val="26"/>
        </w:rPr>
        <w:t>S</w:t>
      </w:r>
    </w:p>
    <w:p w14:paraId="22832C7D" w14:textId="77777777" w:rsidR="00CF6C0B" w:rsidRDefault="00000000">
      <w:pPr>
        <w:spacing w:after="120" w:line="276" w:lineRule="auto"/>
        <w:ind w:left="360" w:hanging="360"/>
      </w:pPr>
      <w:r>
        <w:rPr>
          <w:b/>
          <w:bCs/>
        </w:rPr>
        <w:t>Significance level (α).</w:t>
      </w:r>
      <w:r>
        <w:t xml:space="preserve"> The probability threshold for rejecting the null hypothesis, set at α = .05 in this study.</w:t>
      </w:r>
    </w:p>
    <w:p w14:paraId="1D4E81F7" w14:textId="77777777" w:rsidR="00CF6C0B" w:rsidRDefault="00000000">
      <w:pPr>
        <w:spacing w:after="120" w:line="276" w:lineRule="auto"/>
        <w:ind w:left="360" w:hanging="360"/>
      </w:pPr>
      <w:r>
        <w:rPr>
          <w:b/>
          <w:bCs/>
        </w:rPr>
        <w:t>Standardized coefficient.</w:t>
      </w:r>
      <w:r>
        <w:t xml:space="preserve"> A coefficient expressed in standard-deviation units so that effects measured on different original scales can be directly compared; all reported path coefficients are standardized.</w:t>
      </w:r>
    </w:p>
    <w:p w14:paraId="67DCB04D" w14:textId="77777777" w:rsidR="00CF6C0B" w:rsidRDefault="00000000">
      <w:pPr>
        <w:spacing w:after="120" w:line="276" w:lineRule="auto"/>
        <w:ind w:left="360" w:hanging="360"/>
      </w:pPr>
      <w:r>
        <w:rPr>
          <w:b/>
          <w:bCs/>
        </w:rPr>
        <w:t>Standardized OLS.</w:t>
      </w:r>
      <w:r>
        <w:t xml:space="preserve"> Ordinary least squares regression performed on standardized (z-scored) composite variables, producing the standardized structural path coefficients.</w:t>
      </w:r>
    </w:p>
    <w:p w14:paraId="1864766E" w14:textId="77777777" w:rsidR="00CF6C0B" w:rsidRDefault="00000000">
      <w:pPr>
        <w:spacing w:after="120" w:line="276" w:lineRule="auto"/>
        <w:ind w:left="360" w:hanging="360"/>
      </w:pPr>
      <w:r>
        <w:rPr>
          <w:b/>
          <w:bCs/>
        </w:rPr>
        <w:t>Structural Equation Modeling (SEM).</w:t>
      </w:r>
      <w:r>
        <w:t xml:space="preserve"> A family of multivariate methods that simultaneously estimate relationships among latent constructs and their indicators. This study combines a covariance-based measurement stage (CFA in AMOS) with a composite-based structural stage (standardized OLS).</w:t>
      </w:r>
    </w:p>
    <w:p w14:paraId="6120287C" w14:textId="77777777" w:rsidR="00CF6C0B" w:rsidRDefault="00000000">
      <w:pPr>
        <w:spacing w:after="120" w:line="276" w:lineRule="auto"/>
        <w:ind w:left="360" w:hanging="360"/>
      </w:pPr>
      <w:r>
        <w:rPr>
          <w:b/>
          <w:bCs/>
        </w:rPr>
        <w:t>Structural model.</w:t>
      </w:r>
      <w:r>
        <w:t xml:space="preserve"> The portion of an SEM specifying the directed relationships among constructs (PM → IS, RM → IS, PM → RM, and the PM → RM → IS mediation), estimated here by composite-based OLS.</w:t>
      </w:r>
    </w:p>
    <w:p w14:paraId="29BE04AD" w14:textId="77777777" w:rsidR="00CF6C0B" w:rsidRDefault="00000000">
      <w:pPr>
        <w:pBdr>
          <w:bottom w:val="single" w:sz="4" w:space="2" w:color="888888"/>
        </w:pBdr>
        <w:spacing w:before="200" w:after="80"/>
      </w:pPr>
      <w:r>
        <w:rPr>
          <w:b/>
          <w:bCs/>
          <w:sz w:val="26"/>
          <w:szCs w:val="26"/>
        </w:rPr>
        <w:t>T</w:t>
      </w:r>
    </w:p>
    <w:p w14:paraId="79C61C56" w14:textId="77777777" w:rsidR="00CF6C0B" w:rsidRDefault="00000000">
      <w:pPr>
        <w:spacing w:after="120" w:line="276" w:lineRule="auto"/>
        <w:ind w:left="360" w:hanging="360"/>
      </w:pPr>
      <w:r>
        <w:rPr>
          <w:b/>
          <w:bCs/>
        </w:rPr>
        <w:t>Total effect.</w:t>
      </w:r>
      <w:r>
        <w:t xml:space="preserve"> The sum of a predictor's direct and indirect effects on an outcome. The total PM effect on IS was 0.229 (direct 0.143 plus indirect 0.0848).</w:t>
      </w:r>
    </w:p>
    <w:p w14:paraId="403A17FD" w14:textId="77777777" w:rsidR="00CF6C0B" w:rsidRDefault="00000000">
      <w:pPr>
        <w:spacing w:after="120" w:line="276" w:lineRule="auto"/>
        <w:ind w:left="360" w:hanging="360"/>
      </w:pPr>
      <w:r>
        <w:rPr>
          <w:b/>
          <w:bCs/>
        </w:rPr>
        <w:t>t-ratio (t-statistic).</w:t>
      </w:r>
      <w:r>
        <w:t xml:space="preserve"> The ratio of a coefficient to its standard error, used to test the coefficient's statistical significance (e.g., PM → IS t = 2.151; RM → IS t = 5.721).</w:t>
      </w:r>
    </w:p>
    <w:p w14:paraId="0FB70B6C" w14:textId="77777777" w:rsidR="00CF6C0B" w:rsidRDefault="00000000">
      <w:pPr>
        <w:pBdr>
          <w:top w:val="single" w:sz="4" w:space="4" w:color="888888"/>
        </w:pBdr>
        <w:spacing w:before="200"/>
      </w:pPr>
      <w:r>
        <w:rPr>
          <w:i/>
          <w:iCs/>
        </w:rPr>
        <w:t>Notation:</w:t>
      </w:r>
      <w:r>
        <w:t xml:space="preserve"> β denotes a standardized path coefficient; λ a factor loading; α either Cronbach's reliability coefficient or the significance level, as indicated by context; R² the coefficient of determination. Arrows (→) denote a directed structural path from predictor to outcome.</w:t>
      </w:r>
    </w:p>
    <w:sectPr w:rsidR="00CF6C0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FF36F" w14:textId="77777777" w:rsidR="007D2E00" w:rsidRDefault="007D2E00">
      <w:r>
        <w:separator/>
      </w:r>
    </w:p>
  </w:endnote>
  <w:endnote w:type="continuationSeparator" w:id="0">
    <w:p w14:paraId="158B7FE3" w14:textId="77777777" w:rsidR="007D2E00" w:rsidRDefault="007D2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DD84" w14:textId="77777777" w:rsidR="00CF6C0B" w:rsidRDefault="00000000">
    <w:pPr>
      <w:jc w:val="center"/>
    </w:pPr>
    <w:r>
      <w:rPr>
        <w:color w:val="666666"/>
        <w:sz w:val="18"/>
        <w:szCs w:val="18"/>
      </w:rPr>
      <w:t xml:space="preserve">Appendix </w:t>
    </w:r>
    <w:proofErr w:type="gramStart"/>
    <w:r>
      <w:rPr>
        <w:color w:val="666666"/>
        <w:sz w:val="18"/>
        <w:szCs w:val="18"/>
      </w:rPr>
      <w:t>C  |</w:t>
    </w:r>
    <w:proofErr w:type="gramEnd"/>
    <w:r>
      <w:rPr>
        <w:color w:val="666666"/>
        <w:sz w:val="18"/>
        <w:szCs w:val="18"/>
      </w:rPr>
      <w:t xml:space="preserve">  </w:t>
    </w:r>
    <w:r>
      <w:rPr>
        <w:color w:val="666666"/>
        <w:sz w:val="18"/>
        <w:szCs w:val="18"/>
      </w:rPr>
      <w:fldChar w:fldCharType="begin"/>
    </w:r>
    <w:r>
      <w:rPr>
        <w:color w:val="666666"/>
        <w:sz w:val="18"/>
        <w:szCs w:val="18"/>
      </w:rPr>
      <w:instrText>PAGE</w:instrText>
    </w:r>
    <w:r>
      <w:rPr>
        <w:color w:val="666666"/>
        <w:sz w:val="18"/>
        <w:szCs w:val="18"/>
      </w:rPr>
      <w:fldChar w:fldCharType="separate"/>
    </w:r>
    <w:r w:rsidR="005A282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046F6" w14:textId="77777777" w:rsidR="007D2E00" w:rsidRDefault="007D2E00">
      <w:r>
        <w:separator/>
      </w:r>
    </w:p>
  </w:footnote>
  <w:footnote w:type="continuationSeparator" w:id="0">
    <w:p w14:paraId="64629AC4" w14:textId="77777777" w:rsidR="007D2E00" w:rsidRDefault="007D2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0245"/>
    <w:multiLevelType w:val="hybridMultilevel"/>
    <w:tmpl w:val="73CE4742"/>
    <w:lvl w:ilvl="0" w:tplc="FB06BB62">
      <w:start w:val="1"/>
      <w:numFmt w:val="bullet"/>
      <w:lvlText w:val="●"/>
      <w:lvlJc w:val="left"/>
      <w:pPr>
        <w:ind w:left="720" w:hanging="360"/>
      </w:pPr>
    </w:lvl>
    <w:lvl w:ilvl="1" w:tplc="36269848">
      <w:start w:val="1"/>
      <w:numFmt w:val="bullet"/>
      <w:lvlText w:val="○"/>
      <w:lvlJc w:val="left"/>
      <w:pPr>
        <w:ind w:left="1440" w:hanging="360"/>
      </w:pPr>
    </w:lvl>
    <w:lvl w:ilvl="2" w:tplc="7A384980">
      <w:start w:val="1"/>
      <w:numFmt w:val="bullet"/>
      <w:lvlText w:val="■"/>
      <w:lvlJc w:val="left"/>
      <w:pPr>
        <w:ind w:left="2160" w:hanging="360"/>
      </w:pPr>
    </w:lvl>
    <w:lvl w:ilvl="3" w:tplc="1E9EED2A">
      <w:start w:val="1"/>
      <w:numFmt w:val="bullet"/>
      <w:lvlText w:val="●"/>
      <w:lvlJc w:val="left"/>
      <w:pPr>
        <w:ind w:left="2880" w:hanging="360"/>
      </w:pPr>
    </w:lvl>
    <w:lvl w:ilvl="4" w:tplc="1D42D2FC">
      <w:start w:val="1"/>
      <w:numFmt w:val="bullet"/>
      <w:lvlText w:val="○"/>
      <w:lvlJc w:val="left"/>
      <w:pPr>
        <w:ind w:left="3600" w:hanging="360"/>
      </w:pPr>
    </w:lvl>
    <w:lvl w:ilvl="5" w:tplc="C8A88360">
      <w:start w:val="1"/>
      <w:numFmt w:val="bullet"/>
      <w:lvlText w:val="■"/>
      <w:lvlJc w:val="left"/>
      <w:pPr>
        <w:ind w:left="4320" w:hanging="360"/>
      </w:pPr>
    </w:lvl>
    <w:lvl w:ilvl="6" w:tplc="8D00CD2C">
      <w:start w:val="1"/>
      <w:numFmt w:val="bullet"/>
      <w:lvlText w:val="●"/>
      <w:lvlJc w:val="left"/>
      <w:pPr>
        <w:ind w:left="5040" w:hanging="360"/>
      </w:pPr>
    </w:lvl>
    <w:lvl w:ilvl="7" w:tplc="A2CAA920">
      <w:start w:val="1"/>
      <w:numFmt w:val="bullet"/>
      <w:lvlText w:val="●"/>
      <w:lvlJc w:val="left"/>
      <w:pPr>
        <w:ind w:left="5760" w:hanging="360"/>
      </w:pPr>
    </w:lvl>
    <w:lvl w:ilvl="8" w:tplc="A9B65BF8">
      <w:start w:val="1"/>
      <w:numFmt w:val="bullet"/>
      <w:lvlText w:val="●"/>
      <w:lvlJc w:val="left"/>
      <w:pPr>
        <w:ind w:left="6480" w:hanging="360"/>
      </w:pPr>
    </w:lvl>
  </w:abstractNum>
  <w:num w:numId="1" w16cid:durableId="16850103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C0B"/>
    <w:rsid w:val="001D7F8D"/>
    <w:rsid w:val="001E4A49"/>
    <w:rsid w:val="005A282C"/>
    <w:rsid w:val="007D2E00"/>
    <w:rsid w:val="00CF6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4A70F"/>
  <w15:docId w15:val="{D7CAD9C6-3353-431D-98DC-0AAE63F9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2075</Words>
  <Characters>11832</Characters>
  <Application>Microsoft Office Word</Application>
  <DocSecurity>0</DocSecurity>
  <Lines>98</Lines>
  <Paragraphs>27</Paragraphs>
  <ScaleCrop>false</ScaleCrop>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Soharu, Rajni Ekta</cp:lastModifiedBy>
  <cp:revision>3</cp:revision>
  <dcterms:created xsi:type="dcterms:W3CDTF">2026-06-30T17:41:00Z</dcterms:created>
  <dcterms:modified xsi:type="dcterms:W3CDTF">2026-06-30T17:41:00Z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a6f911e9-a4ea-41a1-9dc1-89b6428ff5a0</vt:lpwstr>
  </property>
</Properties>
</file>