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Modelo de Arquitetura</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Diante de um cenário complexo como o proposto no exercício, minha primeira preocupação seria com o legado. Pois o legado é o que sustenta toda a empresa. Tendo em vista que não poderia reescrever os sistemas legados, minha primeira ação seria contratar mão de obra especializada nas tecnologias dos legados, para que desta forma pudesse dar sustentação nos mesmos.</w:t>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Com o passar do tempo começaria a planejar a migração destes legados para ambientes mais estáveis, com alta performance e alta disponibilidade, como os servidores na nuvem.</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Em relação aos novos projetos, eu creio que já devessem nascer com tecnologias mais atuais, publicados em ambientes híbridos com balanceamento para manter a alta disponibilidade. Desta forma mesmo que algum servidor porventura sofresse alguma ‘queda’, as aplicações seriam redirecionadas para outro servidor e seriam mantidas em perfeito funcionamento.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