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Table 1: Characteristics of study participants stratified by sexual dysfunction status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1645"/>
        <w:gridCol w:w="1181"/>
      </w:tblGrid>
      <w:tr>
        <w:trPr>
          <w:trHeight w:val="7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Dysfunctional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Age;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(6.2)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 (4.6)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Hormonal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Interrupted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FSFI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Hot flashes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2024-12-26T17:42:40Z</dcterms:modified>
  <cp:category/>
</cp:coreProperties>
</file>