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Table 1: Characteristics of study participants stratified by sexual dysfunction status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1352"/>
        <w:gridCol w:w="1181"/>
      </w:tblGrid>
      <w:tr>
        <w:trPr>
          <w:trHeight w:val="73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Age;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 (4.6)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(6.1)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Union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Hormonal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Interrupted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FSFI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Vaginal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Hot flashes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2024-12-24T11:04:05Z</dcterms:modified>
  <cp:category/>
</cp:coreProperties>
</file>