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ENCOMpass Systems International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Laser Lab Access Policy</w:t>
      </w:r>
    </w:p>
    <w:p>
      <w:pPr>
        <w:pStyle w:val="BodyText"/>
        <w:bidi w:val="0"/>
        <w:jc w:val="left"/>
        <w:rPr/>
      </w:pPr>
      <w:r>
        <w:rPr/>
        <w:t>Access to the laser lab is restricted to badged research staff during staffed hours.</w:t>
      </w:r>
    </w:p>
    <w:p>
      <w:pPr>
        <w:pStyle w:val="BodyText"/>
        <w:bidi w:val="0"/>
        <w:jc w:val="left"/>
        <w:rPr/>
      </w:pPr>
      <w:r>
        <w:rPr/>
        <w:t>Employees must not stand in front of the digitising laser while it is active. The laser will not ask first.</w:t>
      </w:r>
    </w:p>
    <w:p>
      <w:pPr>
        <w:pStyle w:val="BodyText"/>
        <w:bidi w:val="0"/>
        <w:jc w:val="left"/>
        <w:rPr/>
      </w:pPr>
      <w:r>
        <w:rPr/>
        <w:t>Any staff member who is digitised into the system must report to Facilities on their return and complete form LL-7.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