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420"/>
        <w:ind w:hanging="0" w:left="0" w:right="0"/>
        <w:jc w:val="left"/>
        <w:rPr>
          <w:rFonts w:ascii="Helvetica;Arial;sans-serif" w:hAnsi="Helvetica;Arial;sans-serif"/>
          <w:caps/>
          <w:color w:val="3B5B7A"/>
          <w:spacing w:val="30"/>
          <w:sz w:val="20"/>
          <w:bdr w:val="single" w:sz="18" w:space="8" w:color="3B5B7A"/>
        </w:rPr>
      </w:pPr>
      <w:r>
        <w:rPr>
          <w:rFonts w:ascii="Helvetica;Arial;sans-serif" w:hAnsi="Helvetica;Arial;sans-serif"/>
          <w:caps/>
          <w:color w:val="3B5B7A"/>
          <w:spacing w:val="30"/>
          <w:sz w:val="20"/>
          <w:bdr w:val="single" w:sz="18" w:space="8" w:color="3B5B7A"/>
        </w:rPr>
        <w:t>Hill Valley Auto &amp; Temporal Services</w:t>
      </w:r>
    </w:p>
    <w:p>
      <w:pPr>
        <w:pStyle w:val="Heading1"/>
        <w:bidi w:val="0"/>
        <w:spacing w:before="0" w:after="420"/>
        <w:jc w:val="left"/>
        <w:rPr>
          <w:bdr w:val="single" w:sz="18" w:space="8" w:color="3B5B7A"/>
        </w:rPr>
      </w:pPr>
      <w:r>
        <w:rPr>
          <w:bdr w:val="single" w:sz="18" w:space="8" w:color="3B5B7A"/>
        </w:rPr>
        <w:t>Detailing Service Agreement</w:t>
      </w:r>
    </w:p>
    <w:p>
      <w:pPr>
        <w:pStyle w:val="BodyText"/>
        <w:bidi w:val="0"/>
        <w:jc w:val="left"/>
        <w:rPr/>
      </w:pPr>
      <w:r>
        <w:rPr/>
        <w:t>This agreement covers monthly detailing of the client's fleet, including wash, polish and wax.</w:t>
      </w:r>
    </w:p>
    <w:p>
      <w:pPr>
        <w:pStyle w:val="BodyText"/>
        <w:bidi w:val="0"/>
        <w:jc w:val="left"/>
        <w:rPr/>
      </w:pPr>
      <w:r>
        <w:rPr/>
        <w:t>Clause 4: wax is applied in two coats. A third coat may be requested by the fleet supervisor and is billed at the standard rate.</w:t>
      </w:r>
    </w:p>
    <w:p>
      <w:pPr>
        <w:pStyle w:val="BodyText"/>
        <w:bidi w:val="0"/>
        <w:jc w:val="left"/>
        <w:rPr/>
      </w:pPr>
      <w:r>
        <w:rPr/>
        <w:t>Clause 7: the provider is not responsible for any vehicle the supervisor removes from the premises without authorisation, including vehicles capable of time travel.</w:t>
      </w:r>
    </w:p>
    <w:p>
      <w:pPr>
        <w:pStyle w:val="BodyText"/>
        <w:bidi w:val="0"/>
        <w:spacing w:before="540" w:after="210"/>
        <w:ind w:hanging="0" w:left="0" w:right="0"/>
        <w:jc w:val="left"/>
        <w:rPr>
          <w:rFonts w:ascii="Helvetica;Arial;sans-serif" w:hAnsi="Helvetica;Arial;sans-serif"/>
          <w:color w:val="7B8794"/>
          <w:sz w:val="17"/>
        </w:rPr>
      </w:pPr>
      <w:r>
        <w:rPr>
          <w:rFonts w:ascii="Helvetica;Arial;sans-serif" w:hAnsi="Helvetica;Arial;sans-serif"/>
          <w:color w:val="7B8794"/>
          <w:sz w:val="17"/>
        </w:rPr>
        <w:t>Sample document - fictional content for demonstration.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eorgia">
    <w:altName w:val="Times New Roman"/>
    <w:charset w:val="00"/>
    <w:family w:val="auto"/>
    <w:pitch w:val="default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Georgia;Times New Roman;serif" w:hAnsi="Georgia;Times New Roman;serif" w:eastAsia="Georgia;Times New Roman;serif" w:cs="Georgia;Times New Roman;serif"/>
      <w:color w:val="1F2933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90" w:after="90"/>
      <w:ind w:left="90" w:right="90"/>
    </w:pPr>
    <w:rPr>
      <w:rFonts w:ascii="Noto Sans" w:hAnsi="Noto Sans"/>
      <w:b/>
      <w:bCs/>
      <w:sz w:val="39"/>
      <w:szCs w:val="39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lineRule="auto" w:line="384" w:before="0" w:after="210"/>
    </w:pPr>
    <w:rPr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