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420"/>
        <w:ind w:hanging="0" w:left="0" w:right="0"/>
        <w:jc w:val="left"/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</w:pPr>
      <w:r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  <w:t>Nakatomi Trading Corp.</w:t>
      </w:r>
    </w:p>
    <w:p>
      <w:pPr>
        <w:pStyle w:val="Heading1"/>
        <w:bidi w:val="0"/>
        <w:spacing w:before="0" w:after="420"/>
        <w:jc w:val="left"/>
        <w:rPr>
          <w:bdr w:val="single" w:sz="18" w:space="8" w:color="3B5B7A"/>
        </w:rPr>
      </w:pPr>
      <w:r>
        <w:rPr>
          <w:bdr w:val="single" w:sz="18" w:space="8" w:color="3B5B7A"/>
        </w:rPr>
        <w:t>Vault Audit - Scope of Work</w:t>
      </w:r>
    </w:p>
    <w:p>
      <w:pPr>
        <w:pStyle w:val="BodyText"/>
        <w:bidi w:val="0"/>
        <w:jc w:val="left"/>
        <w:rPr/>
      </w:pPr>
      <w:r>
        <w:rPr/>
        <w:t>Scope: the 30th-floor vault and its contents, including bearer bonds to the value of six hundred and forty million dollars.</w:t>
      </w:r>
    </w:p>
    <w:p>
      <w:pPr>
        <w:pStyle w:val="BodyText"/>
        <w:bidi w:val="0"/>
        <w:jc w:val="left"/>
        <w:rPr/>
      </w:pPr>
      <w:r>
        <w:rPr/>
        <w:t>Method: the auditor will open the vault in person. Building staff are asked to remain in the conference room for the duration.</w:t>
      </w:r>
    </w:p>
    <w:p>
      <w:pPr>
        <w:pStyle w:val="BodyText"/>
        <w:bidi w:val="0"/>
        <w:jc w:val="left"/>
        <w:rPr/>
      </w:pPr>
      <w:r>
        <w:rPr/>
        <w:t>Schedule: Christmas Eve, during the office party, when the building is quietest.</w:t>
      </w:r>
    </w:p>
    <w:p>
      <w:pPr>
        <w:pStyle w:val="BodyText"/>
        <w:bidi w:val="0"/>
        <w:spacing w:before="540" w:after="210"/>
        <w:ind w:hanging="0" w:left="0" w:right="0"/>
        <w:jc w:val="left"/>
        <w:rPr>
          <w:rFonts w:ascii="Helvetica;Arial;sans-serif" w:hAnsi="Helvetica;Arial;sans-serif"/>
          <w:color w:val="7B8794"/>
          <w:sz w:val="17"/>
        </w:rPr>
      </w:pPr>
      <w:r>
        <w:rPr>
          <w:rFonts w:ascii="Helvetica;Arial;sans-serif" w:hAnsi="Helvetica;Arial;sans-serif"/>
          <w:color w:val="7B8794"/>
          <w:sz w:val="17"/>
        </w:rPr>
        <w:t>Sample document - fictional content for demonstration.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altName w:val="Times New Roman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Times New Roman;serif" w:hAnsi="Georgia;Times New Roman;serif" w:eastAsia="Georgia;Times New Roman;serif" w:cs="Georgia;Times New Roman;serif"/>
      <w:color w:val="1F29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90" w:after="90"/>
      <w:ind w:left="90" w:right="90"/>
    </w:pPr>
    <w:rPr>
      <w:rFonts w:ascii="Noto Sans" w:hAnsi="Noto Sans"/>
      <w:b/>
      <w:bCs/>
      <w:sz w:val="39"/>
      <w:szCs w:val="39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lineRule="auto" w:line="384" w:before="0" w:after="210"/>
    </w:pPr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