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420"/>
        <w:ind w:hanging="0" w:left="0" w:right="0"/>
        <w:jc w:val="left"/>
        <w:rPr>
          <w:rFonts w:ascii="Helvetica;Arial;sans-serif" w:hAnsi="Helvetica;Arial;sans-serif"/>
          <w:caps/>
          <w:color w:val="3B5B7A"/>
          <w:spacing w:val="30"/>
          <w:sz w:val="20"/>
          <w:bdr w:val="single" w:sz="18" w:space="8" w:color="3B5B7A"/>
        </w:rPr>
      </w:pPr>
      <w:r>
        <w:rPr>
          <w:rFonts w:ascii="Helvetica;Arial;sans-serif" w:hAnsi="Helvetica;Arial;sans-serif"/>
          <w:caps/>
          <w:color w:val="3B5B7A"/>
          <w:spacing w:val="30"/>
          <w:sz w:val="20"/>
          <w:bdr w:val="single" w:sz="18" w:space="8" w:color="3B5B7A"/>
        </w:rPr>
        <w:t>Omni Consumer Products Group</w:t>
      </w:r>
    </w:p>
    <w:p>
      <w:pPr>
        <w:pStyle w:val="Heading1"/>
        <w:bidi w:val="0"/>
        <w:spacing w:before="0" w:after="420"/>
        <w:jc w:val="left"/>
        <w:rPr>
          <w:bdr w:val="single" w:sz="18" w:space="8" w:color="3B5B7A"/>
        </w:rPr>
      </w:pPr>
      <w:r>
        <w:rPr>
          <w:bdr w:val="single" w:sz="18" w:space="8" w:color="3B5B7A"/>
        </w:rPr>
        <w:t>Prime Directives - Policy Draft</w:t>
      </w:r>
    </w:p>
    <w:p>
      <w:pPr>
        <w:pStyle w:val="BodyText"/>
        <w:bidi w:val="0"/>
        <w:jc w:val="left"/>
        <w:rPr/>
      </w:pPr>
      <w:r>
        <w:rPr/>
        <w:t>Directive 1: Serve the public trust.</w:t>
      </w:r>
    </w:p>
    <w:p>
      <w:pPr>
        <w:pStyle w:val="BodyText"/>
        <w:bidi w:val="0"/>
        <w:jc w:val="left"/>
        <w:rPr/>
      </w:pPr>
      <w:r>
        <w:rPr/>
        <w:t>Directive 2: Protect the innocent.</w:t>
      </w:r>
    </w:p>
    <w:p>
      <w:pPr>
        <w:pStyle w:val="BodyText"/>
        <w:bidi w:val="0"/>
        <w:jc w:val="left"/>
        <w:rPr/>
      </w:pPr>
      <w:r>
        <w:rPr/>
        <w:t>Directive 3: Uphold the law.</w:t>
      </w:r>
    </w:p>
    <w:p>
      <w:pPr>
        <w:pStyle w:val="BodyText"/>
        <w:bidi w:val="0"/>
        <w:jc w:val="left"/>
        <w:rPr/>
      </w:pPr>
      <w:r>
        <w:rPr/>
        <w:t>Directive 4: [Classified]. Legal has asked that this directive be reviewed before the next board meeting.</w:t>
      </w:r>
    </w:p>
    <w:p>
      <w:pPr>
        <w:pStyle w:val="BodyText"/>
        <w:bidi w:val="0"/>
        <w:spacing w:before="540" w:after="210"/>
        <w:ind w:hanging="0" w:left="0" w:right="0"/>
        <w:jc w:val="left"/>
        <w:rPr>
          <w:rFonts w:ascii="Helvetica;Arial;sans-serif" w:hAnsi="Helvetica;Arial;sans-serif"/>
          <w:color w:val="7B8794"/>
          <w:sz w:val="17"/>
        </w:rPr>
      </w:pPr>
      <w:r>
        <w:rPr>
          <w:rFonts w:ascii="Helvetica;Arial;sans-serif" w:hAnsi="Helvetica;Arial;sans-serif"/>
          <w:color w:val="7B8794"/>
          <w:sz w:val="17"/>
        </w:rPr>
        <w:t>Sample document - fictional content for demonstration.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Georgia">
    <w:altName w:val="Times New Roman"/>
    <w:charset w:val="00"/>
    <w:family w:val="auto"/>
    <w:pitch w:val="default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Georgia;Times New Roman;serif" w:hAnsi="Georgia;Times New Roman;serif" w:eastAsia="Georgia;Times New Roman;serif" w:cs="Georgia;Times New Roman;serif"/>
      <w:color w:val="1F2933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90" w:after="90"/>
      <w:ind w:left="90" w:right="90"/>
    </w:pPr>
    <w:rPr>
      <w:rFonts w:ascii="Noto Sans" w:hAnsi="Noto Sans"/>
      <w:b/>
      <w:bCs/>
      <w:sz w:val="39"/>
      <w:szCs w:val="39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lineRule="auto" w:line="384" w:before="0" w:after="210"/>
    </w:pPr>
    <w:rPr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