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DIRECTORS DEALINGS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Quant Research Briefs 01 &amp; 02</w:t>
      </w:r>
    </w:p>
    <w:p>
      <w:pPr>
        <w:spacing w:after="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Brief 01 — Do the live signal tiers separate winners from losers out-of-sample?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Brief 02 — Where else might alpha live? (combinations, size, price, sector, seasonality)</w:t>
      </w:r>
    </w:p>
    <w:p>
      <w:pPr>
        <w:pBdr>
          <w:bottom w:val="single" w:color="1B2A4A" w:sz="8" w:space="1"/>
        </w:pBdr>
        <w:spacing w:after="12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Prepared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 Researcher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  ·  2026-06-03  · 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Validation pass — no production code or DB writes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Data: 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_backtest_results.csv (run bt_20260603T103447Z, 1,979 firing rows) + read-only /tmp copy of directors.db. Stdlib Python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DDDA" w:sz="4"/>
              <w:left w:val="single" w:color="C0392B" w:sz="24"/>
              <w:bottom w:val="single" w:color="F7DDDA" w:sz="4"/>
              <w:right w:val="single" w:color="F7DDDA" w:sz="4"/>
            </w:tcBorders>
            <w:shd w:fill="F7D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EXECUTIVE SUMMARY — the one thing to take away</w:t>
            </w:r>
          </w:p>
          <w:p>
            <w:pPr>
              <w:spacing w:after="10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Out-of-sample, the signal taxonomy does not separate winners from losers, and the base rate it draws from is negative. The average flagged director buy returned −1.85% net (−0.75% gross) versus its own sector benchmark over 21 trading days, with a 36% hit-rate — and that underperformance deepens to −3.9% gross by T+90. No live tier beats this baseline out-of-sample, and the claimed seniority ordering (T1 ≥ T2 ≥ T3 ≥ T4; T0 highest) is contradicted — it inverts.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Recommendation: do not refine, re-tune, or extend the tiers yet. First explain why the average flagged buy lags its benchmark (regime, universe selection, or residual data-timing). Building Brief-02 features on a negative, non-separating base is refining noise.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Brief 01 — Tier separation, validated out-of-sample</w:t>
      </w:r>
    </w:p>
    <w:p>
      <w:pPr>
        <w:pStyle w:val="Heading2"/>
      </w:pPr>
      <w:r>
        <w:t xml:space="preserve">Three headline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EFF1" w:sz="4"/>
              <w:left w:val="single" w:color="1B2A4A" w:sz="24"/>
              <w:bottom w:val="single" w:color="ECEFF1" w:sz="4"/>
              <w:right w:val="single" w:color="ECEFF1" w:sz="4"/>
            </w:tcBorders>
            <w:shd w:fill="ECEF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1. Which tiers survive out-of-sample?  →  None.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 13 live signals, only four have ≥30 matured firings in the test half at T+21 (F1, S1, T3, T4); the other nine are INSUFFICIENT-N. None of the four testable signals beats the baseline. At T+90 only F1 and S1 are even borderline-testable, and neither beats baseline. Zero tiers show incremental out-of-sample edge over a generic director buy.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CEFF1" w:sz="4"/>
              <w:left w:val="single" w:color="1B2A4A" w:sz="24"/>
              <w:bottom w:val="single" w:color="ECEFF1" w:sz="4"/>
              <w:right w:val="single" w:color="ECEFF1" w:sz="4"/>
            </w:tcBorders>
            <w:shd w:fill="ECEF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2. Does the seniority ordering hold?  →  No; it inverts.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Observed test-half net CAR runs the opposite way to the taxonomy: T4 (−1.4%) &gt; T3 (−3.4%) &gt; T2 (−7.0%) &gt; T1 (−10%). T0 (“cluster combo”, claimed strongest) prints −8.7% — near the bottom. Senior tiers are small-N, so this is “contradicted, not proven” — but there is no support, in either half, for seniority paying.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DDDA" w:sz="4"/>
              <w:left w:val="single" w:color="C0392B" w:sz="24"/>
              <w:bottom w:val="single" w:color="F7DDDA" w:sz="4"/>
              <w:right w:val="single" w:color="F7DDDA" w:sz="4"/>
            </w:tcBorders>
            <w:shd w:fill="F7D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3. Single most important keep/kill  →  Fix the base rate before touching the tiers.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baseline itself is negative and non-separating out-of-sample. Re-tuning a tier whose parent population is negative just fits the negative sample harder. If forced to simplify now, the only data-supported move is to collapse the role tiers into one “director buy” flag — not to add granularity.</w:t>
            </w:r>
          </w:p>
        </w:tc>
      </w:tr>
    </w:tbl>
    <w:p>
      <w:pPr>
        <w:pStyle w:val="Heading2"/>
      </w:pPr>
      <w:r>
        <w:t xml:space="preserve">Pre-registration (written before pulling CARs)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Predicted directions are logged so the result cannot be back-fitted. The null being tested: each tier is positive, beats the generic-buy baseline, and respects the asserted ordering.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19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Economic claim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sign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rank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T1a/T1b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CEO/Founder, CFO — most-informed insiders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strongly 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highest role tier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 exec — informed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T3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T3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NED — less operational insight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mildly 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T4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 / catch-all — weakest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~flat to mild 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lowest role tier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Cluster buy — insiders agreeing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generic buy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Cluster + senior role — best of both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strongly 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highest overall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F1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First-time buy — new conviction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≥ generic buy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Hypotheses tested this pass: </w:t>
      </w:r>
      <w:r>
        <w:rPr>
          <w:rFonts w:ascii="Arial" w:cs="Arial" w:eastAsia="Arial" w:hAnsi="Arial"/>
          <w:sz w:val="22"/>
          <w:szCs w:val="22"/>
        </w:rPr>
        <w:t xml:space="preserve">13 signals × 2 windows = 26 comparisons. </w:t>
      </w: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(The brief scoped 7×2=14; the live taxonomy has grown to 13 signals, so the multiple-comparison surface — and the haircut — is larger.)</w:t>
      </w:r>
    </w:p>
    <w:p>
      <w:pPr>
        <w:pStyle w:val="Heading2"/>
      </w:pPr>
      <w:r>
        <w:t xml:space="preserve">Cohort &amp; method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Universe: </w:t>
      </w:r>
      <w:r>
        <w:rPr>
          <w:rFonts w:ascii="Arial" w:cs="Arial" w:eastAsia="Arial" w:hAnsi="Arial"/>
          <w:sz w:val="22"/>
          <w:szCs w:val="22"/>
        </w:rPr>
        <w:t xml:space="preserve">987 distinct firing events. One fingerprint can trigger several signals; CAR is identical per fingerprint, so the baseline dedupes to one row per fingerprint.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 date: </w:t>
      </w:r>
      <w:r>
        <w:rPr>
          <w:rFonts w:ascii="Arial" w:cs="Arial" w:eastAsia="Arial" w:hAnsi="Arial"/>
          <w:sz w:val="22"/>
          <w:szCs w:val="22"/>
        </w:rPr>
        <w:t xml:space="preserve">fired_at (the disclosure/firing timestamp) — the market reacts to the filing, not the trade date.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split (60/40 by event): </w:t>
      </w:r>
      <w:r>
        <w:rPr>
          <w:rFonts w:ascii="Arial" w:cs="Arial" w:eastAsia="Arial" w:hAnsi="Arial"/>
          <w:sz w:val="22"/>
          <w:szCs w:val="22"/>
        </w:rPr>
        <w:t xml:space="preserve">train = events on/before 2025-12-09; test = events after. Firing range 2025-06-02 → 2026-04-20.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model (confirmed exactly as briefed): </w:t>
      </w:r>
      <w:r>
        <w:rPr>
          <w:rFonts w:ascii="Arial" w:cs="Arial" w:eastAsia="Arial" w:hAnsi="Arial"/>
          <w:sz w:val="22"/>
          <w:szCs w:val="22"/>
        </w:rPr>
        <w:t xml:space="preserve">non-AIM = 100bps (50bps round-trip spread + 50bps stamp); AIM = 50bps.</w:t>
      </w:r>
    </w:p>
    <w:p>
      <w:pPr>
        <w:spacing w:after="120" w:before="60" w:line="276"/>
      </w:pPr>
      <w:r>
        <w:rPr>
          <w:rFonts w:ascii="Arial" w:cs="Arial" w:eastAsia="Arial" w:hAnsi="Arial"/>
          <w:sz w:val="22"/>
          <w:szCs w:val="22"/>
        </w:rPr>
        <w:t xml:space="preserve">Window maturity is the binding constraint. T+90 needs ~4.3 months of post-entry prices; “today” is 2026-06-03, so most test-half firings have not matured to T+90: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Half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Events with T+21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Events with T+90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 (≤ 2025-12-09)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592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 (&gt; 2025-12-09)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393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92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Only 92 test-half events have matured to T+90 — the reason most T+90 verdicts are unknowable this pass.</w:t>
      </w:r>
    </w:p>
    <w:p>
      <w:pPr>
        <w:pStyle w:val="Heading2"/>
      </w:pPr>
      <w:r>
        <w:t xml:space="preserve">Baseline — the comparator every tier must beat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baseline is the pooled set of distinct firing events: “the average system-flagged director buy.” It is negative and, crucially, not outlier-driven (the 5%-trimmed mean is −1.06%; removing the single best trade barely moves it). Because CAR already subtracts a sector-matched benchmark, this is director-bought names lagging their own sector index — not simply “the market fell.”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 CAR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 T+21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T+21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 T+90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T+90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−1.68%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−1.85%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−5.39%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−1.36%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Median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−2.23%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−2.14%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−6.48%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−7.18%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Hit-rate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28%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Mean, top removed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−1.7%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−2.3%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−5.7%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−3.7%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393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</w:t>
            </w:r>
          </w:p>
        </w:tc>
      </w:tr>
    </w:tbl>
    <w:p>
      <w:pPr>
        <w:pStyle w:val="Heading2"/>
      </w:pPr>
      <w:r>
        <w:t xml:space="preserve">Per-tier results — test half, T+21, net of cost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Per-signal out-of-sample net CAR vs baseline" descr="Per-signal out-of-sample net CAR vs baseline" title="Per-signal out-of-sample net CAR vs bas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Navy = sufficient N (≥30); grey = insufficient N. Red dashed line = baseline (−1.85%). No bar clears the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900"/>
        <w:gridCol w:w="1500"/>
        <w:gridCol w:w="1050"/>
        <w:gridCol w:w="900"/>
        <w:gridCol w:w="1260"/>
        <w:gridCol w:w="1400"/>
      </w:tblGrid>
      <w:tr>
        <w:trPr>
          <w:tblHeader/>
        </w:trP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T+21 net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base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 first-time buy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−1.61%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−2.13%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+0.24%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NOISE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 cluster buy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−2.85%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−2.34%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−1.00%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NOISE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 NED buy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−3.42%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−2.43%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−1.57%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NOISE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T4 other buy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−1.38%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−2.04%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+0.47%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NOISE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T5 PCA buy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+0.72%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+0.10%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+2.57%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INSUFF-N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T2 exec buy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−6.96%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−8.26%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−5.11%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INSUFF-N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T7 chair buy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−2.34%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−2.42%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−0.49%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INSUFF-N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T0 cluster combo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−8.73%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−12.93%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−6.88%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INSUFF-N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 crowded-cluster kill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−3.17%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−6.70%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−1.31%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INSUFF-N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B1 lone conviction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−7.54%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−7.00%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−5.69%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INSUFF-N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T1a CEO/founder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−15.53%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−14.65%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−13.68%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INSUFF-N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T1b CFO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−5.17%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−4.61%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−3.32%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INSUFF-N</w:t>
            </w:r>
          </w:p>
        </w:tc>
      </w:tr>
      <w:tr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T6 company sec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−10.56%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−10.56%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−8.71%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INSUFF-N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Baseline (test, T+21, net): N=393, mean −1.85%, median −2.14%, hit 36%. “vs base” = tier mean minus baseline mean.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 key: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EDGE</w:t>
      </w:r>
      <w:r>
        <w:rPr>
          <w:rFonts w:ascii="Arial" w:cs="Arial" w:eastAsia="Arial" w:hAnsi="Arial"/>
          <w:sz w:val="22"/>
          <w:szCs w:val="22"/>
        </w:rPr>
        <w:t xml:space="preserve"> = beats baseline, consistent train→test, survives outlier removal, N≥30 (awarded to nothing).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NOISE</w:t>
      </w:r>
      <w:r>
        <w:rPr>
          <w:rFonts w:ascii="Arial" w:cs="Arial" w:eastAsia="Arial" w:hAnsi="Arial"/>
          <w:sz w:val="22"/>
          <w:szCs w:val="22"/>
        </w:rPr>
        <w:t xml:space="preserve"> = N≥30 but at/below baseline. </w:t>
      </w: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INSUFFICIENT-N</w:t>
      </w:r>
      <w:r>
        <w:rPr>
          <w:rFonts w:ascii="Arial" w:cs="Arial" w:eastAsia="Arial" w:hAnsi="Arial"/>
          <w:sz w:val="22"/>
          <w:szCs w:val="22"/>
        </w:rPr>
        <w:t xml:space="preserve"> = fewer than ~30 matured test firings.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At T+90 (net, test): only F1 (N=70, −1.22% vs baseline −1.36% → NOISE) and S1 (N=53, −4.31% → NOISE) approach N≥30; every other signal is INSUFFICIENT-N at T+90.</w:t>
      </w:r>
    </w:p>
    <w:p>
      <w:pPr>
        <w:pStyle w:val="Heading2"/>
      </w:pPr>
      <w:r>
        <w:t xml:space="preserve">Ordering check — does seniority pay?</w:t>
      </w:r>
    </w:p>
    <w:p>
      <w:pPr>
        <w:spacing w:after="160" w:before="80"/>
        <w:jc w:val="center"/>
      </w:pPr>
      <w:r>
        <w:drawing>
          <wp:inline distT="0" distB="0" distL="0" distR="0">
            <wp:extent cx="5143500" cy="3143250"/>
            <wp:effectExtent t="0" r="0" b="0" l="0"/>
            <wp:docPr id="1" name="Seniority ordering check" descr="Seniority ordering check" title="Seniority ordering 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The taxonomy claims T1 ≥ T2 ≥ T3 ≥ T4. In the test half the order inverts; in the train half it is flat. T1/T2 are small-N.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 (T+21 net)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 (test)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Claim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T1 (CEO/Founder + CFO)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−1.8%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−10.3%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highest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 (Exec)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−2.8%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−7.0%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2nd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T3 (NED)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−2.3%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−3.4%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3rd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T4 (Other)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−1.2%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−1.4%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lowest</w:t>
            </w:r>
          </w:p>
        </w:tc>
      </w:tr>
    </w:tbl>
    <w:p>
      <w:pPr>
        <w:pStyle w:val="Heading2"/>
      </w:pPr>
      <w:r>
        <w:t xml:space="preserve">Drift vs reversal — the underperformance compounds</w:t>
      </w:r>
    </w:p>
    <w:p>
      <w:pPr>
        <w:spacing w:after="160" w:before="80"/>
        <w:jc w:val="center"/>
      </w:pPr>
      <w:r>
        <w:drawing>
          <wp:inline distT="0" distB="0" distL="0" distR="0">
            <wp:extent cx="4476750" cy="2762250"/>
            <wp:effectExtent t="0" r="0" b="0" l="0"/>
            <wp:docPr id="1" name="Horizon decay of CAR" descr="Horizon decay of CAR" title="Horizon decay of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Mean gross CAR vs benchmark across horizons (all flagged buys). There is no announcement pop that fades — the relative loss simply grows with holding period.</w:t>
      </w:r>
    </w:p>
    <w:p>
      <w:pPr>
        <w:pStyle w:val="Heading2"/>
      </w:pPr>
      <w:r>
        <w:t xml:space="preserve">Robustness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Outlier dependence: </w:t>
      </w:r>
      <w:r>
        <w:rPr>
          <w:rFonts w:ascii="Arial" w:cs="Arial" w:eastAsia="Arial" w:hAnsi="Arial"/>
          <w:sz w:val="22"/>
          <w:szCs w:val="22"/>
        </w:rPr>
        <w:t xml:space="preserve">baseline and the two large tiers (F1, S1) barely move when the single best trade is removed — the negative read is central, not tail-driven. The lone positive (T5) flips negative on top-removal, i.e. it is outlier-propped.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Concentration: </w:t>
      </w:r>
      <w:r>
        <w:rPr>
          <w:rFonts w:ascii="Arial" w:cs="Arial" w:eastAsia="Arial" w:hAnsi="Arial"/>
          <w:sz w:val="22"/>
          <w:szCs w:val="22"/>
        </w:rPr>
        <w:t xml:space="preserve">the 987 “events” are far from independent — PRU appears 70×, BATS 30×, RR 27×. Effective N is well below headline N, widening every confidence interval.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Regime: </w:t>
      </w:r>
      <w:r>
        <w:rPr>
          <w:rFonts w:ascii="Arial" w:cs="Arial" w:eastAsia="Arial" w:hAnsi="Arial"/>
          <w:sz w:val="22"/>
          <w:szCs w:val="22"/>
        </w:rPr>
        <w:t xml:space="preserve">CAR subtracts a sector benchmark, so a uniformly negative CAR is not “the market fell.” It holds across both train and test halves.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comparisons: </w:t>
      </w:r>
      <w:r>
        <w:rPr>
          <w:rFonts w:ascii="Arial" w:cs="Arial" w:eastAsia="Arial" w:hAnsi="Arial"/>
          <w:sz w:val="22"/>
          <w:szCs w:val="22"/>
        </w:rPr>
        <w:t xml:space="preserve">26 looks. With a negative-to-flat field, nothing clears even an uncorrected bar, so the haircut is academic — but it would have killed T5 (N=19) regardless.</w:t>
      </w:r>
    </w:p>
    <w:p>
      <w:pPr>
        <w:pStyle w:val="Heading2"/>
      </w:pPr>
      <w:r>
        <w:t xml:space="preserve">Verdict &amp;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DDDA" w:sz="4"/>
              <w:left w:val="single" w:color="C0392B" w:sz="24"/>
              <w:bottom w:val="single" w:color="F7DDDA" w:sz="4"/>
              <w:right w:val="single" w:color="F7DDDA" w:sz="4"/>
            </w:tcBorders>
            <w:shd w:fill="F7D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Verdict: NOISE / INSUFFICIENT-N across the board.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live tier demonstrates out-of-sample edge over a generic flagged buy at T+21 or T+90. The seniority ordering is unsupported and directionally inverted. The baseline test-half edge is −1.85% ± ~1.3% (2 s.e.); the only sufficient-N tiers sit within or below that band. This is a clean negative result, not a marginal one.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Keep the data pipeline; do not trust the tiers as alpha. </w:t>
      </w:r>
      <w:r>
        <w:rPr>
          <w:rFonts w:ascii="Arial" w:cs="Arial" w:eastAsia="Arial" w:hAnsi="Arial"/>
          <w:sz w:val="22"/>
          <w:szCs w:val="22"/>
        </w:rPr>
        <w:t xml:space="preserve">Treat T1–T7, S1, T0 and F1 as descriptive labels, not validated edge, until the base-rate question is resolved.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 re-tune thresholds yet </w:t>
      </w:r>
      <w:r>
        <w:rPr>
          <w:rFonts w:ascii="Arial" w:cs="Arial" w:eastAsia="Arial" w:hAnsi="Arial"/>
          <w:sz w:val="22"/>
          <w:szCs w:val="22"/>
        </w:rPr>
        <w:t xml:space="preserve">— re-tuning a tier whose parent population is negative just fits the negative sample harder.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the base-rate diagnostic before Brief-02 features: </w:t>
      </w:r>
      <w:r>
        <w:rPr>
          <w:rFonts w:ascii="Arial" w:cs="Arial" w:eastAsia="Arial" w:hAnsi="Arial"/>
          <w:sz w:val="22"/>
          <w:szCs w:val="22"/>
        </w:rPr>
        <w:t xml:space="preserve">(a) is it a 2025-26 UK regime where insider-bought names lagged cap-weighted sector indices; (b) universe selection (corpus skews to a few mega-caps and Main-Market names); (c) residual entry-timing error. Loop in the Trader on (a)/(b) and the Data Integrity Auditor on (c).</w:t>
      </w:r>
    </w:p>
    <w:p>
      <w:r>
        <w:br w:type="page"/>
      </w:r>
    </w:p>
    <w:p>
      <w:pPr>
        <w:pStyle w:val="Heading1"/>
      </w:pPr>
      <w:r>
        <w:t xml:space="preserve">Brief 02 — Where else might alpha live?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This is an ideation pass: transaction size, relative buy size, cluster breadth, price history, sector, and time of year. Per the overfitting mandate, every cut below is pre-registered with a direction, and — because the sample base rate is negative and concentrated — every positive-looking cut is treated as a hypothesis requiring pre-registered out-of-sample confirmation, never as “edge found.”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F0D6" w:sz="4"/>
              <w:left w:val="single" w:color="9A6A00" w:sz="24"/>
              <w:bottom w:val="single" w:color="FBF0D6" w:sz="4"/>
              <w:right w:val="single" w:color="FBF0D6" w:sz="4"/>
            </w:tcBorders>
            <w:shd w:fill="FBF0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A6A00"/>
                <w:sz w:val="22"/>
                <w:szCs w:val="22"/>
              </w:rPr>
              <w:t xml:space="preserve">Honesty note on multiple comparisons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Nine hypothesis families with sub-buckets = 30+ cuts on ~987 events (effective N much lower given PRU/BATS/RR concentration). At that search width, one or two cuts will look “significant” by chance alone. Nothing in this section is a recommendation to build — it is a ranked list of what to pre-register and test out-of-sample next.</w:t>
            </w:r>
          </w:p>
        </w:tc>
      </w:tr>
    </w:tbl>
    <w:p>
      <w:pPr>
        <w:pStyle w:val="Heading2"/>
      </w:pPr>
      <w:r>
        <w:t xml:space="preserve">What each hypothesis showed (gross CAR T+21 unless noted)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0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Hypothesis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Direction?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Transaction size (£)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predicted +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Inverted: bigger buys did WORSE (&lt;£10k −0.4% → &gt;£1m −4.0%; test half &gt;£1m −13%). Robust across train+test.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Negative effect — robust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Relative buy size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predicted +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“Normal” (0.5–1.5× own median) least-bad (+0.4%); outsized worse. Max N=46.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Insufficient-N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Cluster breadth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predicted +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Mild: 4+ directors least-bad (−0.7%) vs 2 directors (−1.7%). Still all negative.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A6A00"/>
                <w:sz w:val="18"/>
                <w:szCs w:val="18"/>
              </w:rPr>
              <w:t xml:space="preserve">Weak, directional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Sector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(mined)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dispersion: Materials +5.0% (hit 90%, N=20), Utilities/Financials +; Industrials −3.7%, Staples −1.3%.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Lead hypothesis*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Seasonality (month)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+2.2%, August −4.2% — but each month appears ONCE in 11 months of data.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Untestable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Disclosure lag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predicted +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(−1.1%) ≈ slow (−2.5%); slight worse-with-slower. Small N for slow.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Weak / null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Drift vs reversal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diagnostic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 deepens T+1 → T+21 → T+90. No fade-able pop. Argues against long holds.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Confirms Brief 01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AIM vs Main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16 AIM events (flag under-populated). Cannot conclude.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Blocked (data)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 % of mkt cap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predicted +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market_cap_gbp empty for all 763 tickers — cannot compute.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Blocked (data)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*Lead hypothesis = most interesting, but data-mined across sectors and single-window — the most likely to be overfit. Pre-register and confirm OOS before any belief.</w:t>
      </w:r>
    </w:p>
    <w:p>
      <w:pPr>
        <w:pStyle w:val="Heading2"/>
      </w:pPr>
      <w:r>
        <w:t xml:space="preserve">Bigger buys did worse</w:t>
      </w:r>
    </w:p>
    <w:p>
      <w:pPr>
        <w:spacing w:after="160" w:before="80"/>
        <w:jc w:val="center"/>
      </w:pPr>
      <w:r>
        <w:drawing>
          <wp:inline distT="0" distB="0" distL="0" distR="0">
            <wp:extent cx="4953000" cy="2886075"/>
            <wp:effectExtent t="0" r="0" b="0" l="0"/>
            <wp:docPr id="1" name="Transaction size buckets" descr="Transaction size buckets" title="Transaction size bu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Counterintuitive but robust across both halves: larger director buys preceded larger relative losses. Likely large buys cluster in big-cap names that lagged, or are distressed-support buys — worth a conditioning study, but it is not a positive-alpha cut.</w:t>
      </w:r>
    </w:p>
    <w:p>
      <w:pPr>
        <w:pStyle w:val="Heading2"/>
      </w:pPr>
      <w:r>
        <w:t xml:space="preserve">Sector dispersion — the one place to look next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Sector dispersion in CAR" descr="Sector dispersion in CAR" title="Sector dispersion in 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Director buys in Materials/Financials/Utilities beat their own sector index; Industrials/Staples lagged. Because CAR is benchmark-relative, this is stock-selection within sector, not sector beta — which is what makes it interesting. But N is small and the cut was mined across 7+ sectors.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EE3" w:sz="4"/>
              <w:left w:val="single" w:color="1E8449" w:sz="24"/>
              <w:bottom w:val="single" w:color="DCEEE3" w:sz="4"/>
              <w:right w:val="single" w:color="DCEEE3" w:sz="4"/>
            </w:tcBorders>
            <w:shd w:fill="DCEE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If one Brief-02 idea is promoted to a pre-registered test, make it this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Hypothesis: director buys carry positive relative edge in some sectors (Materials, Financials, Utilities) and negative in others (Industrials, Consumer Staples). Test design: lock the sector grouping now, then evaluate strictly on firings after today's data cut-off; require the sign to persist and N≥30 per sector before any belief. Pair with the Brief-01 base-rate diagnostic — if the whole base is a regime artifact, the sector cut is too.</w:t>
            </w:r>
          </w:p>
        </w:tc>
      </w:tr>
    </w:tbl>
    <w:p>
      <w:pPr>
        <w:pStyle w:val="Heading2"/>
      </w:pPr>
      <w:r>
        <w:t xml:space="preserve">Ideas that are blocked on data (hand to Back-end / Data Integrity)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as % of market cap </w:t>
      </w:r>
      <w:r>
        <w:rPr>
          <w:rFonts w:ascii="Arial" w:cs="Arial" w:eastAsia="Arial" w:hAnsi="Arial"/>
          <w:sz w:val="22"/>
          <w:szCs w:val="22"/>
        </w:rPr>
        <w:t xml:space="preserve">— tickers_meta.market_cap_gbp is empty for all 763 tickers. This is arguably the single most promising un-tested feature (a £100k buy means more at a £20m firm than a £20bn one); it needs a market-cap backfill before it can be evaluated.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AIM-status conditioning </w:t>
      </w:r>
      <w:r>
        <w:rPr>
          <w:rFonts w:ascii="Arial" w:cs="Arial" w:eastAsia="Arial" w:hAnsi="Arial"/>
          <w:sz w:val="22"/>
          <w:szCs w:val="22"/>
        </w:rPr>
        <w:t xml:space="preserve">— is_aim is set for only 10 of 763 tickers; almost certainly under-populated, which also means the 0.5% stamp may be over-applied in the cost model.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first_time_buy column </w:t>
      </w:r>
      <w:r>
        <w:rPr>
          <w:rFonts w:ascii="Arial" w:cs="Arial" w:eastAsia="Arial" w:hAnsi="Arial"/>
          <w:sz w:val="22"/>
          <w:szCs w:val="22"/>
        </w:rPr>
        <w:t xml:space="preserve">— is 0 for all 4,684 transaction rows (dead column); the F1 signal must compute first-time status elsewhere. Anyone reading the column directly is misled.</w:t>
      </w:r>
    </w:p>
    <w:p>
      <w:r>
        <w:br w:type="page"/>
      </w:r>
    </w:p>
    <w:p>
      <w:pPr>
        <w:pStyle w:val="Heading1"/>
      </w:pPr>
      <w:r>
        <w:t xml:space="preserve">Limitations of this pass (always present)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T+90 is barely testable out-of-sample. </w:t>
      </w:r>
      <w:r>
        <w:rPr>
          <w:rFonts w:ascii="Arial" w:cs="Arial" w:eastAsia="Arial" w:hAnsi="Arial"/>
          <w:sz w:val="22"/>
          <w:szCs w:val="22"/>
        </w:rPr>
        <w:t xml:space="preserve">Only 92 test-half events have matured to T+90; per-tier only F1/S1 approach N≥30. Re-run this brief in ~3 months when late-2025/early-2026 firings mature.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Small, concentrated corpus. </w:t>
      </w:r>
      <w:r>
        <w:rPr>
          <w:rFonts w:ascii="Arial" w:cs="Arial" w:eastAsia="Arial" w:hAnsi="Arial"/>
          <w:sz w:val="22"/>
          <w:szCs w:val="22"/>
        </w:rPr>
        <w:t xml:space="preserve">~987 events, but PRU/BATS/RR dominate; effective independent N is much lower. Every confidence interval is wider than the row counts suggest.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 is the pooled-firings set, not literally “every BUY.” </w:t>
      </w:r>
      <w:r>
        <w:rPr>
          <w:rFonts w:ascii="Arial" w:cs="Arial" w:eastAsia="Arial" w:hAnsi="Arial"/>
          <w:sz w:val="22"/>
          <w:szCs w:val="22"/>
        </w:rPr>
        <w:t xml:space="preserve">The prices table was FUSE-truncated this session, so I did not re-derive CARs for non-firing buys (would risk divergence from backtest.py). The chosen baseline is conservative; a true all-BUY baseline (built Windows-side) could shift the comparator slightly.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Data-quality flags surfaced incidentally </w:t>
      </w:r>
      <w:r>
        <w:rPr>
          <w:rFonts w:ascii="Arial" w:cs="Arial" w:eastAsia="Arial" w:hAnsi="Arial"/>
          <w:sz w:val="22"/>
          <w:szCs w:val="22"/>
        </w:rPr>
        <w:t xml:space="preserve">(hand to Data Integrity Auditor): dead first_time_buy column; is_aim set for only 10/763 tickers; market_cap_gbp empty for all tickers.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Entry-timing caveat. </w:t>
      </w:r>
      <w:r>
        <w:rPr>
          <w:rFonts w:ascii="Arial" w:cs="Arial" w:eastAsia="Arial" w:hAnsi="Arial"/>
          <w:sz w:val="22"/>
          <w:szCs w:val="22"/>
        </w:rPr>
        <w:t xml:space="preserve">MEMORY.md records an announced_at/MTM bug and parser issues partially fixed in this corpus. Raw returns look sane (median 0%, symmetric tails), so gross entry pricing is not obviously broken — but a residual timing error would bias CARs and cannot be fully excluded.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Read-only, no writes. </w:t>
      </w:r>
      <w:r>
        <w:rPr>
          <w:rFonts w:ascii="Arial" w:cs="Arial" w:eastAsia="Arial" w:hAnsi="Arial"/>
          <w:sz w:val="22"/>
          <w:szCs w:val="22"/>
        </w:rPr>
        <w:t xml:space="preserve">All queries ran against a /tmp copy of the DB; the CSV was read fresh (run bt_20260603T103447Z). No write-path scripts were executed.</w:t>
      </w:r>
    </w:p>
    <w:p>
      <w:pPr>
        <w:pBdr>
          <w:top w:val="single" w:color="1B2A4A" w:sz="6" w:space="2"/>
        </w:pBdr>
        <w:spacing w:before="24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Full machine-readable write-up: docs/research/quant-01-tier-separation_2026-06-03.md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Directors Dealings · Quant Research · 2026-06-03 · 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AB7C4" w:sz="6" w:space="4"/>
      </w:pBdr>
      <w:spacing w:after="160" w:before="28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B2A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023f7af025168e31e0d12655e6feb7c17705f67.png"/><Relationship Id="rId9" Type="http://schemas.openxmlformats.org/officeDocument/2006/relationships/image" Target="media/0a70478ad000dae18c98950a800b078a3064e794.png"/><Relationship Id="rId10" Type="http://schemas.openxmlformats.org/officeDocument/2006/relationships/image" Target="media/e914c4c952db8f99896d058fe27e2a833335cab4.png"/><Relationship Id="rId11" Type="http://schemas.openxmlformats.org/officeDocument/2006/relationships/image" Target="media/f1b8573eb832d50d7568ad7625f99953a599dc2a.png"/><Relationship Id="rId12" Type="http://schemas.openxmlformats.org/officeDocument/2006/relationships/image" Target="media/945f460d35b4a99d93d484b657675cf0b553d25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Directors Dealings — Quant Research Briefs 01 &amp; 02</dc:title>
  <dc:creator>Quant Researcher</dc:creator>
  <cp:lastModifiedBy>Un-named</cp:lastModifiedBy>
  <cp:revision>1</cp:revision>
  <dcterms:created xsi:type="dcterms:W3CDTF">2026-06-03T10:53:00.672Z</dcterms:created>
  <dcterms:modified xsi:type="dcterms:W3CDTF">2026-06-03T10:53:00.672Z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