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Client Onboarding Protocol</w:t>
      </w:r>
    </w:p>
    <w:p>
      <w:r>
        <w:rPr>
          <w:i/>
        </w:rPr>
        <w:t>How to correctly set up a new dashboard client — standalone project, no shared code, no --client flag.</w:t>
      </w:r>
    </w:p>
    <w:p>
      <w:r>
        <w:t>────────────────────────────────────────────────────────────────────────────────</w:t>
      </w:r>
    </w:p>
    <w:p>
      <w:pPr>
        <w:pStyle w:val="Heading1"/>
      </w:pPr>
      <w:r>
        <w:rPr>
          <w:color w:val="1F497D"/>
        </w:rPr>
        <w:t>Core Rule</w:t>
      </w:r>
    </w:p>
    <w:p>
      <w:r>
        <w:t>Each new client is a completely standalone Python project in its own directory. Do NOT extend 506 Ramseur's codebase. Do NOT add a --client flag. Do NOT create shared modules.</w:t>
      </w:r>
    </w:p>
    <w:p>
      <w:r>
        <w:rPr>
          <w:b/>
        </w:rPr>
        <w:t xml:space="preserve">Why: </w:t>
      </w:r>
      <w:r>
        <w:t>We learned this the hard way when Rali Group was built as a multi-client extension of 506 Ramseur. Hardcoded 506 credentials leaked into the Rali Group build (Tripleseat, GHL, HubSpot, OfficeRND, Toast all ran). The codebases had to be fully separated after the fact.</w:t>
      </w:r>
    </w:p>
    <w:p>
      <w:r>
        <w:t>────────────────────────────────────────────────────────────────────────────────</w:t>
      </w:r>
    </w:p>
    <w:p>
      <w:pPr>
        <w:pStyle w:val="Heading1"/>
      </w:pPr>
      <w:r>
        <w:rPr>
          <w:color w:val="1F497D"/>
        </w:rPr>
        <w:t>8-Step Protocol</w:t>
      </w:r>
    </w:p>
    <w:p>
      <w:pPr>
        <w:pStyle w:val="Heading2"/>
      </w:pPr>
      <w:r>
        <w:rPr>
          <w:color w:val="2E74B5"/>
        </w:rPr>
        <w:t>Step 1 — Create the project directory</w:t>
      </w:r>
    </w:p>
    <w:p>
      <w:r>
        <w:t>Ask the user where they want the directory (e.g. C:\Users\richs\Documents\{client-name}-report\). Do not create it yourself — confirm with the user first, then begin once they say "yes" or "begin."</w:t>
      </w:r>
    </w:p>
    <w:p>
      <w:pPr>
        <w:pStyle w:val="Heading2"/>
      </w:pPr>
      <w:r>
        <w:rPr>
          <w:color w:val="2E74B5"/>
        </w:rPr>
        <w:t>Step 2 — Copy only the generic utility modules</w:t>
      </w:r>
    </w:p>
    <w:p>
      <w:r>
        <w:t>Copy these files verbatim from an existing project — they are client-neutral:</w:t>
      </w:r>
    </w:p>
    <w:p>
      <w:pPr>
        <w:pStyle w:val="ListBullet"/>
      </w:pPr>
      <w:r>
        <w:rPr>
          <w:b/>
        </w:rPr>
        <w:t xml:space="preserve">ga4_direct.py — </w:t>
      </w:r>
      <w:r>
        <w:t>Google Analytics Data API client (no client-specific constants)</w:t>
      </w:r>
    </w:p>
    <w:p>
      <w:pPr>
        <w:pStyle w:val="ListBullet"/>
      </w:pPr>
      <w:r>
        <w:rPr>
          <w:b/>
        </w:rPr>
        <w:t xml:space="preserve">gsc_direct.py — </w:t>
      </w:r>
      <w:r>
        <w:t>Google Search Console API client (update PROPERTY_TO_SITE to this client's properties only)</w:t>
      </w:r>
    </w:p>
    <w:p>
      <w:r>
        <w:t>Do NOT copy:</w:t>
      </w:r>
    </w:p>
    <w:p>
      <w:pPr>
        <w:pStyle w:val="ListBullet"/>
      </w:pPr>
      <w:r>
        <w:t>tripleseat.py, ghl.py, hubspot.py, officernd.py, toast.py, gcal.py — these are 506-specific integrations</w:t>
      </w:r>
    </w:p>
    <w:p>
      <w:pPr>
        <w:pStyle w:val="ListBullet"/>
      </w:pPr>
      <w:r>
        <w:t>aggregator.py — copy the structure but rewrite constants for this client only</w:t>
      </w:r>
    </w:p>
    <w:p>
      <w:pPr>
        <w:pStyle w:val="ListBullet"/>
      </w:pPr>
      <w:r>
        <w:t>build.py, template.html — copy as a base but rewrite thoroughly; remove all other client references</w:t>
      </w:r>
    </w:p>
    <w:p>
      <w:pPr>
        <w:pStyle w:val="Heading2"/>
      </w:pPr>
      <w:r>
        <w:rPr>
          <w:color w:val="2E74B5"/>
        </w:rPr>
        <w:t>Step 3 — Write client-specific modules with hardcoded credentials</w:t>
      </w:r>
    </w:p>
    <w:p>
      <w:r>
        <w:t>Every credential goes directly in the module file. No .env, no client_config.py, no JSON config loader.</w:t>
      </w:r>
    </w:p>
    <w:p>
      <w:pPr>
        <w:ind w:left="576"/>
      </w:pPr>
      <w:r>
        <w:rPr>
          <w:rFonts w:ascii="Courier New" w:hAnsi="Courier New"/>
          <w:color w:val="202020"/>
          <w:sz w:val="18"/>
        </w:rPr>
        <w:t>github_push.py     — GITHUB_TOKEN, REPO_OWNER, REPO_NAME hardcoded</w:t>
      </w:r>
    </w:p>
    <w:p>
      <w:pPr>
        <w:ind w:left="576"/>
      </w:pPr>
      <w:r>
        <w:rPr>
          <w:rFonts w:ascii="Courier New" w:hAnsi="Courier New"/>
          <w:color w:val="202020"/>
          <w:sz w:val="18"/>
        </w:rPr>
        <w:t>windsor.py         — API_KEY hardcoded; only include functions for integrations this client uses</w:t>
      </w:r>
    </w:p>
    <w:p>
      <w:pPr>
        <w:ind w:left="576"/>
      </w:pPr>
      <w:r>
        <w:rPr>
          <w:rFonts w:ascii="Courier New" w:hAnsi="Courier New"/>
          <w:color w:val="202020"/>
          <w:sz w:val="18"/>
        </w:rPr>
        <w:t>ghost.py           — API_KEY, BASE_URL hardcoded (if Ghost CRM)</w:t>
      </w:r>
    </w:p>
    <w:p>
      <w:pPr>
        <w:ind w:left="576"/>
      </w:pPr>
      <w:r>
        <w:rPr>
          <w:rFonts w:ascii="Courier New" w:hAnsi="Courier New"/>
          <w:color w:val="202020"/>
          <w:sz w:val="18"/>
        </w:rPr>
        <w:t>stripe_revenue.py  — SECRET_KEY hardcoded (if Stripe)</w:t>
      </w:r>
    </w:p>
    <w:p>
      <w:pPr>
        <w:pStyle w:val="Heading2"/>
      </w:pPr>
      <w:r>
        <w:rPr>
          <w:color w:val="2E74B5"/>
        </w:rPr>
        <w:t>Step 4 — Write a clean aggregator.py</w:t>
      </w:r>
    </w:p>
    <w:p>
      <w:r>
        <w:t>Start from the structure of 506's aggregator.py but replace ALL of the following with this client's values:</w:t>
      </w:r>
    </w:p>
    <w:p>
      <w:pPr>
        <w:pStyle w:val="ListBullet"/>
      </w:pPr>
      <w:r>
        <w:t>ENTITY_ORDER — only this client's entities</w:t>
      </w:r>
    </w:p>
    <w:p>
      <w:pPr>
        <w:pStyle w:val="ListBullet"/>
      </w:pPr>
      <w:r>
        <w:t>ENTITY_LABELS — only this client's labels</w:t>
      </w:r>
    </w:p>
    <w:p>
      <w:pPr>
        <w:pStyle w:val="ListBullet"/>
      </w:pPr>
      <w:r>
        <w:t>GA4_PROPERTY_MAP — only this client's property IDs</w:t>
      </w:r>
    </w:p>
    <w:p>
      <w:pPr>
        <w:pStyle w:val="ListBullet"/>
      </w:pPr>
      <w:r>
        <w:t>SEO_ENTITY_LABELS, SEO_ORDER — only this client's SEO entities</w:t>
      </w:r>
    </w:p>
    <w:p>
      <w:pPr>
        <w:pStyle w:val="ListBullet"/>
      </w:pPr>
      <w:r>
        <w:t>Remove routing functions for integrations this client doesn't use (no Google routing if no Google Ads, etc.)</w:t>
      </w:r>
    </w:p>
    <w:p>
      <w:pPr>
        <w:pStyle w:val="Heading2"/>
      </w:pPr>
      <w:r>
        <w:rPr>
          <w:color w:val="2E74B5"/>
        </w:rPr>
        <w:t>Step 5 — Write a clean build.py</w:t>
      </w:r>
    </w:p>
    <w:p>
      <w:r>
        <w:t>Hardcode everything at the top of the file:</w:t>
      </w:r>
    </w:p>
    <w:p>
      <w:pPr>
        <w:ind w:left="576"/>
      </w:pPr>
      <w:r>
        <w:rPr>
          <w:rFonts w:ascii="Courier New" w:hAnsi="Courier New"/>
          <w:color w:val="202020"/>
          <w:sz w:val="18"/>
        </w:rPr>
        <w:t>META_ACCOUNTS  = ["..."]        # this client's account IDs only</w:t>
      </w:r>
    </w:p>
    <w:p>
      <w:pPr>
        <w:ind w:left="576"/>
      </w:pPr>
      <w:r>
        <w:rPr>
          <w:rFonts w:ascii="Courier New" w:hAnsi="Courier New"/>
          <w:color w:val="202020"/>
          <w:sz w:val="18"/>
        </w:rPr>
        <w:t>GA4_PROPERTIES = ["..."]        # this client's property IDs only</w:t>
      </w:r>
    </w:p>
    <w:p>
      <w:r>
        <w:t>No apply_client_config(). No --client flag. No multi-client variable overrides. The build pulls exactly the integrations this client has and nothing else.</w:t>
      </w:r>
    </w:p>
    <w:p>
      <w:pPr>
        <w:pStyle w:val="Heading2"/>
      </w:pPr>
      <w:r>
        <w:rPr>
          <w:color w:val="2E74B5"/>
        </w:rPr>
        <w:t>Step 6 — Write a clean template.html</w:t>
      </w:r>
    </w:p>
    <w:p>
      <w:r>
        <w:t>Start by copying 506's template.html as a structural base. Then:</w:t>
      </w:r>
    </w:p>
    <w:p>
      <w:pPr>
        <w:pStyle w:val="ListBullet"/>
      </w:pPr>
      <w:r>
        <w:t>Replace {CLIENT_TITLE} or hardcode the client name directly in &lt;title&gt; and &lt;h1&gt;</w:t>
      </w:r>
    </w:p>
    <w:p>
      <w:pPr>
        <w:pStyle w:val="ListBullet"/>
      </w:pPr>
      <w:r>
        <w:t>Remove all ENTITY_STYLES entries for other clients</w:t>
      </w:r>
    </w:p>
    <w:p>
      <w:pPr>
        <w:pStyle w:val="ListBullet"/>
      </w:pPr>
      <w:r>
        <w:t>Remove hardcoded fallback entity arrays that reference other clients (FUNNEL_ORDER fallback, EXEC_ENTITIES fallback, etc.)</w:t>
      </w:r>
    </w:p>
    <w:p>
      <w:pPr>
        <w:pStyle w:val="ListBullet"/>
      </w:pPr>
      <w:r>
        <w:t>Keep the isGhost/isToast logic if relevant — it's gated and won't execute otherwise</w:t>
      </w:r>
    </w:p>
    <w:p>
      <w:pPr>
        <w:pStyle w:val="ListBullet"/>
      </w:pPr>
      <w:r>
        <w:t>The template is data-driven; test that it renders correctly for the new client's entity set</w:t>
      </w:r>
    </w:p>
    <w:p>
      <w:pPr>
        <w:pStyle w:val="Heading2"/>
      </w:pPr>
      <w:r>
        <w:rPr>
          <w:color w:val="2E74B5"/>
        </w:rPr>
        <w:t>Step 7 — Copy service_account.json</w:t>
      </w:r>
    </w:p>
    <w:p>
      <w:r>
        <w:t>Copy service_account.json from an existing project. This is the shared Google service account for GA4 and GSC access. Remind the user that the service account email must be added as a Viewer in Google Analytics and verified in Google Search Console for this client's properties.</w:t>
      </w:r>
    </w:p>
    <w:p>
      <w:pPr>
        <w:pStyle w:val="Heading2"/>
      </w:pPr>
      <w:r>
        <w:rPr>
          <w:color w:val="2E74B5"/>
        </w:rPr>
        <w:t>Step 8 — Set up GitHub + Netlify</w:t>
      </w:r>
    </w:p>
    <w:p>
      <w:r>
        <w:t>The client needs their own GitHub repo (e.g. rspuller/{client-name}-signal-stack) and their own Netlify site pointed at it. The GitHub PAT must have Contents: Write permission on that specific repo.</w:t>
      </w:r>
    </w:p>
    <w:p>
      <w:r>
        <w:t>────────────────────────────────────────────────────────────────────────────────</w:t>
      </w:r>
    </w:p>
    <w:p>
      <w:pPr>
        <w:pStyle w:val="Heading1"/>
      </w:pPr>
      <w:r>
        <w:rPr>
          <w:color w:val="1F497D"/>
        </w:rPr>
        <w:t>What NOT To Do</w:t>
      </w:r>
    </w:p>
    <w:p>
      <w:pPr>
        <w:pStyle w:val="ListBullet"/>
      </w:pPr>
      <w:r>
        <w:t>Do NOT add the new client as a --client flag to an existing project</w:t>
      </w:r>
    </w:p>
    <w:p>
      <w:pPr>
        <w:pStyle w:val="ListBullet"/>
      </w:pPr>
      <w:r>
        <w:t>Do NOT import the new client's CRM modules into 506's build.py</w:t>
      </w:r>
    </w:p>
    <w:p>
      <w:pPr>
        <w:pStyle w:val="ListBullet"/>
      </w:pPr>
      <w:r>
        <w:t>Do NOT create a shared clients/ config directory</w:t>
      </w:r>
    </w:p>
    <w:p>
      <w:pPr>
        <w:pStyle w:val="ListBullet"/>
      </w:pPr>
      <w:r>
        <w:t>Do NOT add isGhost, isToast, or other client-type flags to 506's template as "fallbacks"</w:t>
      </w:r>
    </w:p>
    <w:p>
      <w:pPr>
        <w:pStyle w:val="ListBullet"/>
      </w:pPr>
      <w:r>
        <w:t>Do NOT use 506 Ramseur entity names (Nerra, Durham Bottling, Oak &amp; Glow, etc.) anywhere in the new project's code, comments, or variable names</w:t>
      </w:r>
    </w:p>
    <w:p>
      <w:r>
        <w:t>────────────────────────────────────────────────────────────────────────────────</w:t>
      </w:r>
    </w:p>
    <w:p>
      <w:pPr>
        <w:pStyle w:val="Heading1"/>
      </w:pPr>
      <w:r>
        <w:rPr>
          <w:color w:val="1F497D"/>
        </w:rPr>
        <w:t>Reference Projects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Client</w:t>
            </w:r>
          </w:p>
        </w:tc>
        <w:tc>
          <w:tcPr>
            <w:tcW w:type="dxa" w:w="2160"/>
          </w:tcPr>
          <w:p>
            <w:r>
              <w:rPr>
                <w:b/>
              </w:rPr>
              <w:t>Directory</w:t>
            </w:r>
          </w:p>
        </w:tc>
        <w:tc>
          <w:tcPr>
            <w:tcW w:type="dxa" w:w="2160"/>
          </w:tcPr>
          <w:p>
            <w:r>
              <w:rPr>
                <w:b/>
              </w:rPr>
              <w:t>GitHub Repo</w:t>
            </w:r>
          </w:p>
        </w:tc>
        <w:tc>
          <w:tcPr>
            <w:tcW w:type="dxa" w:w="2160"/>
          </w:tcPr>
          <w:p>
            <w:r>
              <w:rPr>
                <w:b/>
              </w:rPr>
              <w:t>Integrations</w:t>
            </w:r>
          </w:p>
        </w:tc>
      </w:tr>
      <w:tr>
        <w:tc>
          <w:tcPr>
            <w:tcW w:type="dxa" w:w="2160"/>
          </w:tcPr>
          <w:p>
            <w:r>
              <w:t>506 Ramseur</w:t>
            </w:r>
          </w:p>
        </w:tc>
        <w:tc>
          <w:tcPr>
            <w:tcW w:type="dxa" w:w="2160"/>
          </w:tcPr>
          <w:p>
            <w:r>
              <w:t>C:\Users\richs\Documents\506-ramseur-report\\</w:t>
            </w:r>
          </w:p>
        </w:tc>
        <w:tc>
          <w:tcPr>
            <w:tcW w:type="dxa" w:w="2160"/>
          </w:tcPr>
          <w:p>
            <w:r>
              <w:t>rspuller/506-ramseur-media-report</w:t>
            </w:r>
          </w:p>
        </w:tc>
        <w:tc>
          <w:tcPr>
            <w:tcW w:type="dxa" w:w="2160"/>
          </w:tcPr>
          <w:p>
            <w:r>
              <w:t>Windsor, Tripleseat, GHL, HubSpot, OfficeRND, Toast, GA4, GSC</w:t>
            </w:r>
          </w:p>
        </w:tc>
      </w:tr>
      <w:tr>
        <w:tc>
          <w:tcPr>
            <w:tcW w:type="dxa" w:w="2160"/>
          </w:tcPr>
          <w:p>
            <w:r>
              <w:t>The Rali Group</w:t>
            </w:r>
          </w:p>
        </w:tc>
        <w:tc>
          <w:tcPr>
            <w:tcW w:type="dxa" w:w="2160"/>
          </w:tcPr>
          <w:p>
            <w:r>
              <w:t>C:\Users\richs\Documents\rali-group-report\\</w:t>
            </w:r>
          </w:p>
        </w:tc>
        <w:tc>
          <w:tcPr>
            <w:tcW w:type="dxa" w:w="2160"/>
          </w:tcPr>
          <w:p>
            <w:r>
              <w:t>rspuller/rali-group-signal-stack</w:t>
            </w:r>
          </w:p>
        </w:tc>
        <w:tc>
          <w:tcPr>
            <w:tcW w:type="dxa" w:w="2160"/>
          </w:tcPr>
          <w:p>
            <w:r>
              <w:t>Windsor (Meta only), Ghost, Stripe, GA4, GSC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