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Dungeons &amp; Dragons partners with multiple companies to expand their worlds</w:t>
      </w:r>
    </w:p>
    <w:p>
      <w:r>
        <w:t>منبع: https://gamingtrend.com/news/dungeons-dragons-partners-with-multiple-companies-to-expand-their-worlds/</w:t>
      </w:r>
    </w:p>
    <w:p>
      <w:r>
        <w:t>نویسنده: ناشناس</w:t>
      </w:r>
    </w:p>
    <w:p>
      <w:r>
        <w:t>تاریخ انتشار: 2026-07-30 23:01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Wizards of the Coast is partnering with other big names in the TTRPG world to help expand their worlds. Our own Steven Starkey condensed the announcements while exploring Gen Con:</w:t>
      </w:r>
    </w:p>
    <w:p>
      <w:r>
        <w:t>In an effort to try to provide annual support many D&amp;D settings, Wizards will be partnering with other publishers across the TTRPG industry. Starting in 2027, D&amp;D will return to Ravenloft and the Domains of Dread with an official D&amp;D book from Ghostfire Gaming. Similarly, in 2028, Eberron will see a second party-published book by Visionary Production and Design. Forgotten Realms will see products published by Kobold Press. Expect even more announcements about adventures within other settings to come.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