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Magic Faraway Tree: How Its Worlds Came Alive</w:t>
      </w:r>
    </w:p>
    <w:p>
      <w:r>
        <w:t>منبع: https://www.cbr.com/video/the-magic-faraway-tree-how-its-worlds-came-alive/</w:t>
      </w:r>
    </w:p>
    <w:p>
      <w:r>
        <w:t>نویسنده: Rachel Leishman</w:t>
      </w:r>
    </w:p>
    <w:p>
      <w:r>
        <w:t>تاریخ انتشار: 2026-08-11 16:30</w:t>
      </w:r>
    </w:p>
    <w:p>
      <w:r>
        <w:t>──────────────────────────────────────────────────</w:t>
      </w:r>
    </w:p>
    <w:p>
      <w:r>
        <w:t>The Magic Faraway Tree worlds were built to feel spectacular, tactile and real, including one completely edible set.</w:t>
      </w:r>
    </w:p>
    <w:p>
      <w:r>
        <w:t>Director Ben Gregor breaks down the creative process behind bringing Enid Blyton’s fantasy worlds to life, from a K-pop-inspired take on The Wizard of Oz for the Land of Goodies to the nighttime design of the Land of Birthdays. He also reveals why real sets were so important for the film’s young cast and how Malta became the backdrop for the Land of Doom.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